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451F0" w14:textId="77777777" w:rsidR="00652782" w:rsidRPr="00FD551E" w:rsidRDefault="00652782" w:rsidP="00B459E6"/>
    <w:p w14:paraId="78882645" w14:textId="77777777" w:rsidR="00652782" w:rsidRPr="00FD551E" w:rsidRDefault="00652782" w:rsidP="00B459E6"/>
    <w:p w14:paraId="1A312D37" w14:textId="77777777" w:rsidR="00652782" w:rsidRPr="00FD551E" w:rsidRDefault="00652782" w:rsidP="00B459E6"/>
    <w:p w14:paraId="6BA04C1A" w14:textId="77777777" w:rsidR="00652782" w:rsidRPr="00FD551E" w:rsidRDefault="00D05493" w:rsidP="00B459E6">
      <w:pPr>
        <w:rPr>
          <w:sz w:val="40"/>
          <w:szCs w:val="40"/>
        </w:rPr>
      </w:pPr>
      <w:r w:rsidRPr="00FD551E">
        <w:rPr>
          <w:noProof/>
        </w:rPr>
        <w:drawing>
          <wp:anchor distT="0" distB="0" distL="114300" distR="114300" simplePos="0" relativeHeight="251660288" behindDoc="0" locked="0" layoutInCell="1" allowOverlap="1" wp14:anchorId="75FB86CA" wp14:editId="4D6EE08E">
            <wp:simplePos x="0" y="0"/>
            <wp:positionH relativeFrom="column">
              <wp:align>center</wp:align>
            </wp:positionH>
            <wp:positionV relativeFrom="paragraph">
              <wp:posOffset>-226695</wp:posOffset>
            </wp:positionV>
            <wp:extent cx="2603500" cy="683260"/>
            <wp:effectExtent l="19050" t="0" r="6350" b="0"/>
            <wp:wrapNone/>
            <wp:docPr id="4" name="obrázek 4"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zif"/>
                    <pic:cNvPicPr>
                      <a:picLocks noChangeAspect="1" noChangeArrowheads="1"/>
                    </pic:cNvPicPr>
                  </pic:nvPicPr>
                  <pic:blipFill>
                    <a:blip r:embed="rId8" cstate="print"/>
                    <a:srcRect/>
                    <a:stretch>
                      <a:fillRect/>
                    </a:stretch>
                  </pic:blipFill>
                  <pic:spPr bwMode="auto">
                    <a:xfrm>
                      <a:off x="0" y="0"/>
                      <a:ext cx="2603500" cy="683260"/>
                    </a:xfrm>
                    <a:prstGeom prst="rect">
                      <a:avLst/>
                    </a:prstGeom>
                    <a:noFill/>
                    <a:ln w="9525">
                      <a:noFill/>
                      <a:miter lim="800000"/>
                      <a:headEnd/>
                      <a:tailEnd/>
                    </a:ln>
                  </pic:spPr>
                </pic:pic>
              </a:graphicData>
            </a:graphic>
          </wp:anchor>
        </w:drawing>
      </w:r>
    </w:p>
    <w:p w14:paraId="7F947954" w14:textId="77777777" w:rsidR="00652782" w:rsidRPr="00FD551E" w:rsidRDefault="00652782" w:rsidP="00B459E6"/>
    <w:p w14:paraId="7DFF7D54" w14:textId="77777777" w:rsidR="00652782" w:rsidRPr="00FD551E" w:rsidRDefault="00652782" w:rsidP="00B459E6"/>
    <w:p w14:paraId="4D77FC6C" w14:textId="77777777" w:rsidR="00652782" w:rsidRPr="00FD551E" w:rsidRDefault="00652782" w:rsidP="00B459E6"/>
    <w:p w14:paraId="0F1B8D49" w14:textId="77777777" w:rsidR="00652782" w:rsidRPr="00FD551E" w:rsidRDefault="00652782" w:rsidP="00B459E6"/>
    <w:p w14:paraId="3FECAC32" w14:textId="11518DA2" w:rsidR="00F67893" w:rsidRPr="00FD551E" w:rsidRDefault="00F67893" w:rsidP="00B459E6">
      <w:pPr>
        <w:jc w:val="center"/>
        <w:rPr>
          <w:b/>
          <w:sz w:val="36"/>
          <w:szCs w:val="36"/>
        </w:rPr>
      </w:pPr>
      <w:r w:rsidRPr="00FD551E">
        <w:rPr>
          <w:b/>
          <w:sz w:val="36"/>
          <w:szCs w:val="36"/>
        </w:rPr>
        <w:t>SMLOUVA O POSKYTOVÁNÍ SLUŽEB</w:t>
      </w:r>
    </w:p>
    <w:p w14:paraId="3CCF23FD" w14:textId="729E59EC" w:rsidR="00B459E6" w:rsidRPr="00FD551E" w:rsidRDefault="00F67893" w:rsidP="00B459E6">
      <w:pPr>
        <w:jc w:val="center"/>
        <w:rPr>
          <w:b/>
          <w:sz w:val="32"/>
          <w:szCs w:val="32"/>
        </w:rPr>
      </w:pPr>
      <w:r w:rsidRPr="00FD551E">
        <w:rPr>
          <w:b/>
          <w:sz w:val="32"/>
          <w:szCs w:val="32"/>
        </w:rPr>
        <w:t>PŘÍLOHA Č. 1</w:t>
      </w:r>
    </w:p>
    <w:p w14:paraId="71A486CF" w14:textId="77777777" w:rsidR="00B459E6" w:rsidRPr="00FD551E" w:rsidRDefault="00B459E6" w:rsidP="00B459E6">
      <w:pPr>
        <w:jc w:val="center"/>
        <w:rPr>
          <w:b/>
          <w:sz w:val="56"/>
          <w:szCs w:val="56"/>
        </w:rPr>
      </w:pPr>
    </w:p>
    <w:p w14:paraId="4FD4B49A" w14:textId="10D3E2F6" w:rsidR="00B459E6" w:rsidRPr="00FD551E" w:rsidRDefault="00B459E6" w:rsidP="00B459E6">
      <w:pPr>
        <w:jc w:val="center"/>
        <w:rPr>
          <w:b/>
          <w:sz w:val="56"/>
          <w:szCs w:val="56"/>
        </w:rPr>
      </w:pPr>
      <w:r w:rsidRPr="00FD551E">
        <w:rPr>
          <w:b/>
          <w:sz w:val="56"/>
          <w:szCs w:val="56"/>
        </w:rPr>
        <w:t>KATALOG SLUŽEB</w:t>
      </w:r>
    </w:p>
    <w:p w14:paraId="515C29D5" w14:textId="77777777" w:rsidR="00652782" w:rsidRPr="00FD551E" w:rsidRDefault="00652782" w:rsidP="00B459E6"/>
    <w:p w14:paraId="57BDBD53" w14:textId="77777777" w:rsidR="00652782" w:rsidRPr="00FD551E" w:rsidRDefault="00652782" w:rsidP="00B459E6"/>
    <w:tbl>
      <w:tblPr>
        <w:tblW w:w="0" w:type="auto"/>
        <w:tblLook w:val="01E0" w:firstRow="1" w:lastRow="1" w:firstColumn="1" w:lastColumn="1" w:noHBand="0" w:noVBand="0"/>
      </w:tblPr>
      <w:tblGrid>
        <w:gridCol w:w="9069"/>
      </w:tblGrid>
      <w:tr w:rsidR="00347724" w:rsidRPr="00FD551E" w14:paraId="305604F7" w14:textId="77777777" w:rsidTr="00BC463B">
        <w:trPr>
          <w:trHeight w:val="284"/>
        </w:trPr>
        <w:tc>
          <w:tcPr>
            <w:tcW w:w="9209" w:type="dxa"/>
            <w:shd w:val="clear" w:color="auto" w:fill="006600"/>
            <w:vAlign w:val="center"/>
          </w:tcPr>
          <w:p w14:paraId="2514F70A" w14:textId="77777777" w:rsidR="00347724" w:rsidRPr="00FD551E" w:rsidRDefault="00347724" w:rsidP="00B459E6">
            <w:pPr>
              <w:pStyle w:val="Nadpis1"/>
            </w:pPr>
            <w:bookmarkStart w:id="0" w:name="_Toc14796088"/>
            <w:r w:rsidRPr="00FD551E">
              <w:lastRenderedPageBreak/>
              <w:t>OBSAH:</w:t>
            </w:r>
            <w:bookmarkEnd w:id="0"/>
          </w:p>
        </w:tc>
      </w:tr>
    </w:tbl>
    <w:p w14:paraId="6F093266" w14:textId="77777777" w:rsidR="00347724" w:rsidRPr="00FD551E" w:rsidRDefault="00347724" w:rsidP="00B459E6">
      <w:pPr>
        <w:pStyle w:val="Obsah1"/>
      </w:pPr>
    </w:p>
    <w:p w14:paraId="4FF75101" w14:textId="67ACA5DD" w:rsidR="00630DE5" w:rsidRDefault="00F50AF7">
      <w:pPr>
        <w:pStyle w:val="Obsah1"/>
        <w:tabs>
          <w:tab w:val="left" w:pos="360"/>
          <w:tab w:val="right" w:leader="dot" w:pos="9059"/>
        </w:tabs>
        <w:rPr>
          <w:rFonts w:asciiTheme="minorHAnsi" w:eastAsiaTheme="minorEastAsia" w:hAnsiTheme="minorHAnsi" w:cstheme="minorBidi"/>
          <w:b w:val="0"/>
          <w:caps w:val="0"/>
          <w:noProof/>
          <w:sz w:val="22"/>
          <w:szCs w:val="22"/>
        </w:rPr>
      </w:pPr>
      <w:r w:rsidRPr="00FD551E">
        <w:rPr>
          <w:b w:val="0"/>
          <w:bCs/>
          <w:szCs w:val="24"/>
        </w:rPr>
        <w:fldChar w:fldCharType="begin"/>
      </w:r>
      <w:r w:rsidRPr="00FD551E">
        <w:rPr>
          <w:b w:val="0"/>
          <w:bCs/>
          <w:szCs w:val="24"/>
        </w:rPr>
        <w:instrText xml:space="preserve"> TOC \o "1-2" \t "Nadpis 3;3;Nadpis 4;4" </w:instrText>
      </w:r>
      <w:r w:rsidRPr="00FD551E">
        <w:rPr>
          <w:b w:val="0"/>
          <w:bCs/>
          <w:szCs w:val="24"/>
        </w:rPr>
        <w:fldChar w:fldCharType="separate"/>
      </w:r>
      <w:bookmarkStart w:id="1" w:name="_GoBack"/>
      <w:bookmarkEnd w:id="1"/>
      <w:r w:rsidR="00630DE5">
        <w:rPr>
          <w:noProof/>
        </w:rPr>
        <w:t>1</w:t>
      </w:r>
      <w:r w:rsidR="00630DE5">
        <w:rPr>
          <w:rFonts w:asciiTheme="minorHAnsi" w:eastAsiaTheme="minorEastAsia" w:hAnsiTheme="minorHAnsi" w:cstheme="minorBidi"/>
          <w:b w:val="0"/>
          <w:caps w:val="0"/>
          <w:noProof/>
          <w:sz w:val="22"/>
          <w:szCs w:val="22"/>
        </w:rPr>
        <w:tab/>
      </w:r>
      <w:r w:rsidR="00630DE5">
        <w:rPr>
          <w:noProof/>
        </w:rPr>
        <w:t>OBSAH:</w:t>
      </w:r>
      <w:r w:rsidR="00630DE5">
        <w:rPr>
          <w:noProof/>
        </w:rPr>
        <w:tab/>
      </w:r>
      <w:r w:rsidR="00630DE5">
        <w:rPr>
          <w:noProof/>
        </w:rPr>
        <w:fldChar w:fldCharType="begin"/>
      </w:r>
      <w:r w:rsidR="00630DE5">
        <w:rPr>
          <w:noProof/>
        </w:rPr>
        <w:instrText xml:space="preserve"> PAGEREF _Toc14796088 \h </w:instrText>
      </w:r>
      <w:r w:rsidR="00630DE5">
        <w:rPr>
          <w:noProof/>
        </w:rPr>
      </w:r>
      <w:r w:rsidR="00630DE5">
        <w:rPr>
          <w:noProof/>
        </w:rPr>
        <w:fldChar w:fldCharType="separate"/>
      </w:r>
      <w:r w:rsidR="00630DE5">
        <w:rPr>
          <w:noProof/>
        </w:rPr>
        <w:t>2</w:t>
      </w:r>
      <w:r w:rsidR="00630DE5">
        <w:rPr>
          <w:noProof/>
        </w:rPr>
        <w:fldChar w:fldCharType="end"/>
      </w:r>
    </w:p>
    <w:p w14:paraId="5DEB791D" w14:textId="6C6B0F68" w:rsidR="00630DE5" w:rsidRDefault="00630DE5">
      <w:pPr>
        <w:pStyle w:val="Obsah1"/>
        <w:tabs>
          <w:tab w:val="left" w:pos="360"/>
          <w:tab w:val="right" w:leader="dot" w:pos="9059"/>
        </w:tabs>
        <w:rPr>
          <w:rFonts w:asciiTheme="minorHAnsi" w:eastAsiaTheme="minorEastAsia" w:hAnsiTheme="minorHAnsi" w:cstheme="minorBidi"/>
          <w:b w:val="0"/>
          <w:caps w:val="0"/>
          <w:noProof/>
          <w:sz w:val="22"/>
          <w:szCs w:val="22"/>
        </w:rPr>
      </w:pPr>
      <w:r>
        <w:rPr>
          <w:noProof/>
        </w:rPr>
        <w:t>2</w:t>
      </w:r>
      <w:r>
        <w:rPr>
          <w:rFonts w:asciiTheme="minorHAnsi" w:eastAsiaTheme="minorEastAsia" w:hAnsiTheme="minorHAnsi" w:cstheme="minorBidi"/>
          <w:b w:val="0"/>
          <w:caps w:val="0"/>
          <w:noProof/>
          <w:sz w:val="22"/>
          <w:szCs w:val="22"/>
        </w:rPr>
        <w:tab/>
      </w:r>
      <w:r>
        <w:rPr>
          <w:noProof/>
        </w:rPr>
        <w:t>Definice služeb</w:t>
      </w:r>
      <w:r>
        <w:rPr>
          <w:noProof/>
        </w:rPr>
        <w:tab/>
      </w:r>
      <w:r>
        <w:rPr>
          <w:noProof/>
        </w:rPr>
        <w:fldChar w:fldCharType="begin"/>
      </w:r>
      <w:r>
        <w:rPr>
          <w:noProof/>
        </w:rPr>
        <w:instrText xml:space="preserve"> PAGEREF _Toc14796089 \h </w:instrText>
      </w:r>
      <w:r>
        <w:rPr>
          <w:noProof/>
        </w:rPr>
      </w:r>
      <w:r>
        <w:rPr>
          <w:noProof/>
        </w:rPr>
        <w:fldChar w:fldCharType="separate"/>
      </w:r>
      <w:r>
        <w:rPr>
          <w:noProof/>
        </w:rPr>
        <w:t>3</w:t>
      </w:r>
      <w:r>
        <w:rPr>
          <w:noProof/>
        </w:rPr>
        <w:fldChar w:fldCharType="end"/>
      </w:r>
    </w:p>
    <w:p w14:paraId="2D924100" w14:textId="282BBB75" w:rsidR="00630DE5" w:rsidRDefault="00630DE5">
      <w:pPr>
        <w:pStyle w:val="Obsah2"/>
        <w:tabs>
          <w:tab w:val="left" w:pos="900"/>
          <w:tab w:val="right" w:leader="dot" w:pos="9059"/>
        </w:tabs>
        <w:rPr>
          <w:rFonts w:asciiTheme="minorHAnsi" w:eastAsiaTheme="minorEastAsia" w:hAnsiTheme="minorHAnsi" w:cstheme="minorBidi"/>
          <w:b w:val="0"/>
          <w:noProof/>
          <w:sz w:val="22"/>
          <w:szCs w:val="22"/>
        </w:rPr>
      </w:pPr>
      <w:r>
        <w:rPr>
          <w:noProof/>
        </w:rPr>
        <w:t>2.1</w:t>
      </w:r>
      <w:r>
        <w:rPr>
          <w:rFonts w:asciiTheme="minorHAnsi" w:eastAsiaTheme="minorEastAsia" w:hAnsiTheme="minorHAnsi" w:cstheme="minorBidi"/>
          <w:b w:val="0"/>
          <w:noProof/>
          <w:sz w:val="22"/>
          <w:szCs w:val="22"/>
        </w:rPr>
        <w:tab/>
      </w:r>
      <w:r>
        <w:rPr>
          <w:noProof/>
        </w:rPr>
        <w:t>Přehled služeb</w:t>
      </w:r>
      <w:r>
        <w:rPr>
          <w:noProof/>
        </w:rPr>
        <w:tab/>
      </w:r>
      <w:r>
        <w:rPr>
          <w:noProof/>
        </w:rPr>
        <w:fldChar w:fldCharType="begin"/>
      </w:r>
      <w:r>
        <w:rPr>
          <w:noProof/>
        </w:rPr>
        <w:instrText xml:space="preserve"> PAGEREF _Toc14796090 \h </w:instrText>
      </w:r>
      <w:r>
        <w:rPr>
          <w:noProof/>
        </w:rPr>
      </w:r>
      <w:r>
        <w:rPr>
          <w:noProof/>
        </w:rPr>
        <w:fldChar w:fldCharType="separate"/>
      </w:r>
      <w:r>
        <w:rPr>
          <w:noProof/>
        </w:rPr>
        <w:t>3</w:t>
      </w:r>
      <w:r>
        <w:rPr>
          <w:noProof/>
        </w:rPr>
        <w:fldChar w:fldCharType="end"/>
      </w:r>
    </w:p>
    <w:p w14:paraId="5ED47351" w14:textId="0E6C36DC" w:rsidR="00630DE5" w:rsidRDefault="00630DE5">
      <w:pPr>
        <w:pStyle w:val="Obsah1"/>
        <w:tabs>
          <w:tab w:val="left" w:pos="360"/>
          <w:tab w:val="right" w:leader="dot" w:pos="9059"/>
        </w:tabs>
        <w:rPr>
          <w:rFonts w:asciiTheme="minorHAnsi" w:eastAsiaTheme="minorEastAsia" w:hAnsiTheme="minorHAnsi" w:cstheme="minorBidi"/>
          <w:b w:val="0"/>
          <w:caps w:val="0"/>
          <w:noProof/>
          <w:sz w:val="22"/>
          <w:szCs w:val="22"/>
        </w:rPr>
      </w:pPr>
      <w:r>
        <w:rPr>
          <w:noProof/>
        </w:rPr>
        <w:t>3</w:t>
      </w:r>
      <w:r>
        <w:rPr>
          <w:rFonts w:asciiTheme="minorHAnsi" w:eastAsiaTheme="minorEastAsia" w:hAnsiTheme="minorHAnsi" w:cstheme="minorBidi"/>
          <w:b w:val="0"/>
          <w:caps w:val="0"/>
          <w:noProof/>
          <w:sz w:val="22"/>
          <w:szCs w:val="22"/>
        </w:rPr>
        <w:tab/>
      </w:r>
      <w:r>
        <w:rPr>
          <w:noProof/>
        </w:rPr>
        <w:t>Katalogové listy – Služby podpory provozu IS AGIS</w:t>
      </w:r>
      <w:r>
        <w:rPr>
          <w:noProof/>
        </w:rPr>
        <w:tab/>
      </w:r>
      <w:r>
        <w:rPr>
          <w:noProof/>
        </w:rPr>
        <w:fldChar w:fldCharType="begin"/>
      </w:r>
      <w:r>
        <w:rPr>
          <w:noProof/>
        </w:rPr>
        <w:instrText xml:space="preserve"> PAGEREF _Toc14796091 \h </w:instrText>
      </w:r>
      <w:r>
        <w:rPr>
          <w:noProof/>
        </w:rPr>
      </w:r>
      <w:r>
        <w:rPr>
          <w:noProof/>
        </w:rPr>
        <w:fldChar w:fldCharType="separate"/>
      </w:r>
      <w:r>
        <w:rPr>
          <w:noProof/>
        </w:rPr>
        <w:t>4</w:t>
      </w:r>
      <w:r>
        <w:rPr>
          <w:noProof/>
        </w:rPr>
        <w:fldChar w:fldCharType="end"/>
      </w:r>
    </w:p>
    <w:p w14:paraId="1758CDDC" w14:textId="34C46A74" w:rsidR="00630DE5" w:rsidRDefault="00630DE5">
      <w:pPr>
        <w:pStyle w:val="Obsah2"/>
        <w:tabs>
          <w:tab w:val="left" w:pos="900"/>
          <w:tab w:val="right" w:leader="dot" w:pos="9059"/>
        </w:tabs>
        <w:rPr>
          <w:rFonts w:asciiTheme="minorHAnsi" w:eastAsiaTheme="minorEastAsia" w:hAnsiTheme="minorHAnsi" w:cstheme="minorBidi"/>
          <w:b w:val="0"/>
          <w:noProof/>
          <w:sz w:val="22"/>
          <w:szCs w:val="22"/>
        </w:rPr>
      </w:pPr>
      <w:r>
        <w:rPr>
          <w:noProof/>
        </w:rPr>
        <w:t>3.1</w:t>
      </w:r>
      <w:r>
        <w:rPr>
          <w:rFonts w:asciiTheme="minorHAnsi" w:eastAsiaTheme="minorEastAsia" w:hAnsiTheme="minorHAnsi" w:cstheme="minorBidi"/>
          <w:b w:val="0"/>
          <w:noProof/>
          <w:sz w:val="22"/>
          <w:szCs w:val="22"/>
        </w:rPr>
        <w:tab/>
      </w:r>
      <w:r>
        <w:rPr>
          <w:noProof/>
        </w:rPr>
        <w:t>Služba č. 01 - Poskytování uživatelské podpory</w:t>
      </w:r>
      <w:r>
        <w:rPr>
          <w:noProof/>
        </w:rPr>
        <w:tab/>
      </w:r>
      <w:r>
        <w:rPr>
          <w:noProof/>
        </w:rPr>
        <w:fldChar w:fldCharType="begin"/>
      </w:r>
      <w:r>
        <w:rPr>
          <w:noProof/>
        </w:rPr>
        <w:instrText xml:space="preserve"> PAGEREF _Toc14796092 \h </w:instrText>
      </w:r>
      <w:r>
        <w:rPr>
          <w:noProof/>
        </w:rPr>
      </w:r>
      <w:r>
        <w:rPr>
          <w:noProof/>
        </w:rPr>
        <w:fldChar w:fldCharType="separate"/>
      </w:r>
      <w:r>
        <w:rPr>
          <w:noProof/>
        </w:rPr>
        <w:t>4</w:t>
      </w:r>
      <w:r>
        <w:rPr>
          <w:noProof/>
        </w:rPr>
        <w:fldChar w:fldCharType="end"/>
      </w:r>
    </w:p>
    <w:p w14:paraId="44DE25D2" w14:textId="262A0179" w:rsidR="00630DE5" w:rsidRDefault="00630DE5">
      <w:pPr>
        <w:pStyle w:val="Obsah2"/>
        <w:tabs>
          <w:tab w:val="left" w:pos="900"/>
          <w:tab w:val="right" w:leader="dot" w:pos="9059"/>
        </w:tabs>
        <w:rPr>
          <w:rFonts w:asciiTheme="minorHAnsi" w:eastAsiaTheme="minorEastAsia" w:hAnsiTheme="minorHAnsi" w:cstheme="minorBidi"/>
          <w:b w:val="0"/>
          <w:noProof/>
          <w:sz w:val="22"/>
          <w:szCs w:val="22"/>
        </w:rPr>
      </w:pPr>
      <w:r>
        <w:rPr>
          <w:noProof/>
        </w:rPr>
        <w:t>3.2</w:t>
      </w:r>
      <w:r>
        <w:rPr>
          <w:rFonts w:asciiTheme="minorHAnsi" w:eastAsiaTheme="minorEastAsia" w:hAnsiTheme="minorHAnsi" w:cstheme="minorBidi"/>
          <w:b w:val="0"/>
          <w:noProof/>
          <w:sz w:val="22"/>
          <w:szCs w:val="22"/>
        </w:rPr>
        <w:tab/>
      </w:r>
      <w:r>
        <w:rPr>
          <w:noProof/>
        </w:rPr>
        <w:t>Služba č. 02 – Administrace systémového landscape</w:t>
      </w:r>
      <w:r>
        <w:rPr>
          <w:noProof/>
        </w:rPr>
        <w:tab/>
      </w:r>
      <w:r>
        <w:rPr>
          <w:noProof/>
        </w:rPr>
        <w:fldChar w:fldCharType="begin"/>
      </w:r>
      <w:r>
        <w:rPr>
          <w:noProof/>
        </w:rPr>
        <w:instrText xml:space="preserve"> PAGEREF _Toc14796093 \h </w:instrText>
      </w:r>
      <w:r>
        <w:rPr>
          <w:noProof/>
        </w:rPr>
      </w:r>
      <w:r>
        <w:rPr>
          <w:noProof/>
        </w:rPr>
        <w:fldChar w:fldCharType="separate"/>
      </w:r>
      <w:r>
        <w:rPr>
          <w:noProof/>
        </w:rPr>
        <w:t>7</w:t>
      </w:r>
      <w:r>
        <w:rPr>
          <w:noProof/>
        </w:rPr>
        <w:fldChar w:fldCharType="end"/>
      </w:r>
    </w:p>
    <w:p w14:paraId="195DCC46" w14:textId="06A20668" w:rsidR="00630DE5" w:rsidRDefault="00630DE5">
      <w:pPr>
        <w:pStyle w:val="Obsah1"/>
        <w:tabs>
          <w:tab w:val="left" w:pos="360"/>
          <w:tab w:val="right" w:leader="dot" w:pos="9059"/>
        </w:tabs>
        <w:rPr>
          <w:rFonts w:asciiTheme="minorHAnsi" w:eastAsiaTheme="minorEastAsia" w:hAnsiTheme="minorHAnsi" w:cstheme="minorBidi"/>
          <w:b w:val="0"/>
          <w:caps w:val="0"/>
          <w:noProof/>
          <w:sz w:val="22"/>
          <w:szCs w:val="22"/>
        </w:rPr>
      </w:pPr>
      <w:r>
        <w:rPr>
          <w:noProof/>
        </w:rPr>
        <w:t>4</w:t>
      </w:r>
      <w:r>
        <w:rPr>
          <w:rFonts w:asciiTheme="minorHAnsi" w:eastAsiaTheme="minorEastAsia" w:hAnsiTheme="minorHAnsi" w:cstheme="minorBidi"/>
          <w:b w:val="0"/>
          <w:caps w:val="0"/>
          <w:noProof/>
          <w:sz w:val="22"/>
          <w:szCs w:val="22"/>
        </w:rPr>
        <w:tab/>
      </w:r>
      <w:r>
        <w:rPr>
          <w:noProof/>
        </w:rPr>
        <w:t>Katalogové listy – Služby aplikační podpory IS AGIS</w:t>
      </w:r>
      <w:r>
        <w:rPr>
          <w:noProof/>
        </w:rPr>
        <w:tab/>
      </w:r>
      <w:r>
        <w:rPr>
          <w:noProof/>
        </w:rPr>
        <w:fldChar w:fldCharType="begin"/>
      </w:r>
      <w:r>
        <w:rPr>
          <w:noProof/>
        </w:rPr>
        <w:instrText xml:space="preserve"> PAGEREF _Toc14796094 \h </w:instrText>
      </w:r>
      <w:r>
        <w:rPr>
          <w:noProof/>
        </w:rPr>
      </w:r>
      <w:r>
        <w:rPr>
          <w:noProof/>
        </w:rPr>
        <w:fldChar w:fldCharType="separate"/>
      </w:r>
      <w:r>
        <w:rPr>
          <w:noProof/>
        </w:rPr>
        <w:t>9</w:t>
      </w:r>
      <w:r>
        <w:rPr>
          <w:noProof/>
        </w:rPr>
        <w:fldChar w:fldCharType="end"/>
      </w:r>
    </w:p>
    <w:p w14:paraId="3E724AE2" w14:textId="07976F86" w:rsidR="00630DE5" w:rsidRDefault="00630DE5">
      <w:pPr>
        <w:pStyle w:val="Obsah2"/>
        <w:tabs>
          <w:tab w:val="left" w:pos="900"/>
          <w:tab w:val="right" w:leader="dot" w:pos="9059"/>
        </w:tabs>
        <w:rPr>
          <w:rFonts w:asciiTheme="minorHAnsi" w:eastAsiaTheme="minorEastAsia" w:hAnsiTheme="minorHAnsi" w:cstheme="minorBidi"/>
          <w:b w:val="0"/>
          <w:noProof/>
          <w:sz w:val="22"/>
          <w:szCs w:val="22"/>
        </w:rPr>
      </w:pPr>
      <w:r>
        <w:rPr>
          <w:noProof/>
        </w:rPr>
        <w:t>4.1</w:t>
      </w:r>
      <w:r>
        <w:rPr>
          <w:rFonts w:asciiTheme="minorHAnsi" w:eastAsiaTheme="minorEastAsia" w:hAnsiTheme="minorHAnsi" w:cstheme="minorBidi"/>
          <w:b w:val="0"/>
          <w:noProof/>
          <w:sz w:val="22"/>
          <w:szCs w:val="22"/>
        </w:rPr>
        <w:tab/>
      </w:r>
      <w:r>
        <w:rPr>
          <w:noProof/>
        </w:rPr>
        <w:t>Služba č. 03 – Řešení provozních problémů</w:t>
      </w:r>
      <w:r>
        <w:rPr>
          <w:noProof/>
        </w:rPr>
        <w:tab/>
      </w:r>
      <w:r>
        <w:rPr>
          <w:noProof/>
        </w:rPr>
        <w:fldChar w:fldCharType="begin"/>
      </w:r>
      <w:r>
        <w:rPr>
          <w:noProof/>
        </w:rPr>
        <w:instrText xml:space="preserve"> PAGEREF _Toc14796095 \h </w:instrText>
      </w:r>
      <w:r>
        <w:rPr>
          <w:noProof/>
        </w:rPr>
      </w:r>
      <w:r>
        <w:rPr>
          <w:noProof/>
        </w:rPr>
        <w:fldChar w:fldCharType="separate"/>
      </w:r>
      <w:r>
        <w:rPr>
          <w:noProof/>
        </w:rPr>
        <w:t>9</w:t>
      </w:r>
      <w:r>
        <w:rPr>
          <w:noProof/>
        </w:rPr>
        <w:fldChar w:fldCharType="end"/>
      </w:r>
    </w:p>
    <w:p w14:paraId="41AF9572" w14:textId="2878832A" w:rsidR="00630DE5" w:rsidRDefault="00630DE5">
      <w:pPr>
        <w:pStyle w:val="Obsah2"/>
        <w:tabs>
          <w:tab w:val="left" w:pos="900"/>
          <w:tab w:val="right" w:leader="dot" w:pos="9059"/>
        </w:tabs>
        <w:rPr>
          <w:rFonts w:asciiTheme="minorHAnsi" w:eastAsiaTheme="minorEastAsia" w:hAnsiTheme="minorHAnsi" w:cstheme="minorBidi"/>
          <w:b w:val="0"/>
          <w:noProof/>
          <w:sz w:val="22"/>
          <w:szCs w:val="22"/>
        </w:rPr>
      </w:pPr>
      <w:r>
        <w:rPr>
          <w:noProof/>
        </w:rPr>
        <w:t>4.2</w:t>
      </w:r>
      <w:r>
        <w:rPr>
          <w:rFonts w:asciiTheme="minorHAnsi" w:eastAsiaTheme="minorEastAsia" w:hAnsiTheme="minorHAnsi" w:cstheme="minorBidi"/>
          <w:b w:val="0"/>
          <w:noProof/>
          <w:sz w:val="22"/>
          <w:szCs w:val="22"/>
        </w:rPr>
        <w:tab/>
      </w:r>
      <w:r>
        <w:rPr>
          <w:noProof/>
        </w:rPr>
        <w:t>Služba č. 04 – Řešení změnových požadavků</w:t>
      </w:r>
      <w:r>
        <w:rPr>
          <w:noProof/>
        </w:rPr>
        <w:tab/>
      </w:r>
      <w:r>
        <w:rPr>
          <w:noProof/>
        </w:rPr>
        <w:fldChar w:fldCharType="begin"/>
      </w:r>
      <w:r>
        <w:rPr>
          <w:noProof/>
        </w:rPr>
        <w:instrText xml:space="preserve"> PAGEREF _Toc14796096 \h </w:instrText>
      </w:r>
      <w:r>
        <w:rPr>
          <w:noProof/>
        </w:rPr>
      </w:r>
      <w:r>
        <w:rPr>
          <w:noProof/>
        </w:rPr>
        <w:fldChar w:fldCharType="separate"/>
      </w:r>
      <w:r>
        <w:rPr>
          <w:noProof/>
        </w:rPr>
        <w:t>11</w:t>
      </w:r>
      <w:r>
        <w:rPr>
          <w:noProof/>
        </w:rPr>
        <w:fldChar w:fldCharType="end"/>
      </w:r>
    </w:p>
    <w:p w14:paraId="08050BFC" w14:textId="3D5C8FD2" w:rsidR="00630DE5" w:rsidRDefault="00630DE5">
      <w:pPr>
        <w:pStyle w:val="Obsah2"/>
        <w:tabs>
          <w:tab w:val="left" w:pos="900"/>
          <w:tab w:val="right" w:leader="dot" w:pos="9059"/>
        </w:tabs>
        <w:rPr>
          <w:rFonts w:asciiTheme="minorHAnsi" w:eastAsiaTheme="minorEastAsia" w:hAnsiTheme="minorHAnsi" w:cstheme="minorBidi"/>
          <w:b w:val="0"/>
          <w:noProof/>
          <w:sz w:val="22"/>
          <w:szCs w:val="22"/>
        </w:rPr>
      </w:pPr>
      <w:r>
        <w:rPr>
          <w:noProof/>
        </w:rPr>
        <w:t>4.3</w:t>
      </w:r>
      <w:r>
        <w:rPr>
          <w:rFonts w:asciiTheme="minorHAnsi" w:eastAsiaTheme="minorEastAsia" w:hAnsiTheme="minorHAnsi" w:cstheme="minorBidi"/>
          <w:b w:val="0"/>
          <w:noProof/>
          <w:sz w:val="22"/>
          <w:szCs w:val="22"/>
        </w:rPr>
        <w:tab/>
      </w:r>
      <w:r>
        <w:rPr>
          <w:noProof/>
        </w:rPr>
        <w:t>Služba č. 05 – Konzultace a školení uživatelů</w:t>
      </w:r>
      <w:r>
        <w:rPr>
          <w:noProof/>
        </w:rPr>
        <w:tab/>
      </w:r>
      <w:r>
        <w:rPr>
          <w:noProof/>
        </w:rPr>
        <w:fldChar w:fldCharType="begin"/>
      </w:r>
      <w:r>
        <w:rPr>
          <w:noProof/>
        </w:rPr>
        <w:instrText xml:space="preserve"> PAGEREF _Toc14796097 \h </w:instrText>
      </w:r>
      <w:r>
        <w:rPr>
          <w:noProof/>
        </w:rPr>
      </w:r>
      <w:r>
        <w:rPr>
          <w:noProof/>
        </w:rPr>
        <w:fldChar w:fldCharType="separate"/>
      </w:r>
      <w:r>
        <w:rPr>
          <w:noProof/>
        </w:rPr>
        <w:t>14</w:t>
      </w:r>
      <w:r>
        <w:rPr>
          <w:noProof/>
        </w:rPr>
        <w:fldChar w:fldCharType="end"/>
      </w:r>
    </w:p>
    <w:p w14:paraId="44A986A8" w14:textId="3B10C362" w:rsidR="00630DE5" w:rsidRDefault="00630DE5">
      <w:pPr>
        <w:pStyle w:val="Obsah2"/>
        <w:tabs>
          <w:tab w:val="left" w:pos="900"/>
          <w:tab w:val="right" w:leader="dot" w:pos="9059"/>
        </w:tabs>
        <w:rPr>
          <w:rFonts w:asciiTheme="minorHAnsi" w:eastAsiaTheme="minorEastAsia" w:hAnsiTheme="minorHAnsi" w:cstheme="minorBidi"/>
          <w:b w:val="0"/>
          <w:noProof/>
          <w:sz w:val="22"/>
          <w:szCs w:val="22"/>
        </w:rPr>
      </w:pPr>
      <w:r>
        <w:rPr>
          <w:noProof/>
        </w:rPr>
        <w:t>4.4</w:t>
      </w:r>
      <w:r>
        <w:rPr>
          <w:rFonts w:asciiTheme="minorHAnsi" w:eastAsiaTheme="minorEastAsia" w:hAnsiTheme="minorHAnsi" w:cstheme="minorBidi"/>
          <w:b w:val="0"/>
          <w:noProof/>
          <w:sz w:val="22"/>
          <w:szCs w:val="22"/>
        </w:rPr>
        <w:tab/>
      </w:r>
      <w:r>
        <w:rPr>
          <w:noProof/>
        </w:rPr>
        <w:t>Služba č. 06 – Řízení a koordinace IS AGIS</w:t>
      </w:r>
      <w:r>
        <w:rPr>
          <w:noProof/>
        </w:rPr>
        <w:tab/>
      </w:r>
      <w:r>
        <w:rPr>
          <w:noProof/>
        </w:rPr>
        <w:fldChar w:fldCharType="begin"/>
      </w:r>
      <w:r>
        <w:rPr>
          <w:noProof/>
        </w:rPr>
        <w:instrText xml:space="preserve"> PAGEREF _Toc14796098 \h </w:instrText>
      </w:r>
      <w:r>
        <w:rPr>
          <w:noProof/>
        </w:rPr>
      </w:r>
      <w:r>
        <w:rPr>
          <w:noProof/>
        </w:rPr>
        <w:fldChar w:fldCharType="separate"/>
      </w:r>
      <w:r>
        <w:rPr>
          <w:noProof/>
        </w:rPr>
        <w:t>16</w:t>
      </w:r>
      <w:r>
        <w:rPr>
          <w:noProof/>
        </w:rPr>
        <w:fldChar w:fldCharType="end"/>
      </w:r>
    </w:p>
    <w:p w14:paraId="369FB924" w14:textId="14B6AA83" w:rsidR="00630DE5" w:rsidRDefault="00630DE5">
      <w:pPr>
        <w:pStyle w:val="Obsah1"/>
        <w:tabs>
          <w:tab w:val="left" w:pos="360"/>
          <w:tab w:val="right" w:leader="dot" w:pos="9059"/>
        </w:tabs>
        <w:rPr>
          <w:rFonts w:asciiTheme="minorHAnsi" w:eastAsiaTheme="minorEastAsia" w:hAnsiTheme="minorHAnsi" w:cstheme="minorBidi"/>
          <w:b w:val="0"/>
          <w:caps w:val="0"/>
          <w:noProof/>
          <w:sz w:val="22"/>
          <w:szCs w:val="22"/>
        </w:rPr>
      </w:pPr>
      <w:r>
        <w:rPr>
          <w:noProof/>
        </w:rPr>
        <w:t>5</w:t>
      </w:r>
      <w:r>
        <w:rPr>
          <w:rFonts w:asciiTheme="minorHAnsi" w:eastAsiaTheme="minorEastAsia" w:hAnsiTheme="minorHAnsi" w:cstheme="minorBidi"/>
          <w:b w:val="0"/>
          <w:caps w:val="0"/>
          <w:noProof/>
          <w:sz w:val="22"/>
          <w:szCs w:val="22"/>
        </w:rPr>
        <w:tab/>
      </w:r>
      <w:r>
        <w:rPr>
          <w:noProof/>
        </w:rPr>
        <w:t>Katalogové listy – Jednorázové služby</w:t>
      </w:r>
      <w:r>
        <w:rPr>
          <w:noProof/>
        </w:rPr>
        <w:tab/>
      </w:r>
      <w:r>
        <w:rPr>
          <w:noProof/>
        </w:rPr>
        <w:fldChar w:fldCharType="begin"/>
      </w:r>
      <w:r>
        <w:rPr>
          <w:noProof/>
        </w:rPr>
        <w:instrText xml:space="preserve"> PAGEREF _Toc14796099 \h </w:instrText>
      </w:r>
      <w:r>
        <w:rPr>
          <w:noProof/>
        </w:rPr>
      </w:r>
      <w:r>
        <w:rPr>
          <w:noProof/>
        </w:rPr>
        <w:fldChar w:fldCharType="separate"/>
      </w:r>
      <w:r>
        <w:rPr>
          <w:noProof/>
        </w:rPr>
        <w:t>18</w:t>
      </w:r>
      <w:r>
        <w:rPr>
          <w:noProof/>
        </w:rPr>
        <w:fldChar w:fldCharType="end"/>
      </w:r>
    </w:p>
    <w:p w14:paraId="288E7950" w14:textId="75FE48CA" w:rsidR="00630DE5" w:rsidRDefault="00630DE5">
      <w:pPr>
        <w:pStyle w:val="Obsah2"/>
        <w:tabs>
          <w:tab w:val="left" w:pos="900"/>
          <w:tab w:val="right" w:leader="dot" w:pos="9059"/>
        </w:tabs>
        <w:rPr>
          <w:rFonts w:asciiTheme="minorHAnsi" w:eastAsiaTheme="minorEastAsia" w:hAnsiTheme="minorHAnsi" w:cstheme="minorBidi"/>
          <w:b w:val="0"/>
          <w:noProof/>
          <w:sz w:val="22"/>
          <w:szCs w:val="22"/>
        </w:rPr>
      </w:pPr>
      <w:r>
        <w:rPr>
          <w:noProof/>
        </w:rPr>
        <w:t>5.1</w:t>
      </w:r>
      <w:r>
        <w:rPr>
          <w:rFonts w:asciiTheme="minorHAnsi" w:eastAsiaTheme="minorEastAsia" w:hAnsiTheme="minorHAnsi" w:cstheme="minorBidi"/>
          <w:b w:val="0"/>
          <w:noProof/>
          <w:sz w:val="22"/>
          <w:szCs w:val="22"/>
        </w:rPr>
        <w:tab/>
      </w:r>
      <w:r>
        <w:rPr>
          <w:noProof/>
        </w:rPr>
        <w:t>Služba č. 07 – Řízené ukončení poskytování služeb"</w:t>
      </w:r>
      <w:r>
        <w:rPr>
          <w:noProof/>
        </w:rPr>
        <w:tab/>
      </w:r>
      <w:r>
        <w:rPr>
          <w:noProof/>
        </w:rPr>
        <w:fldChar w:fldCharType="begin"/>
      </w:r>
      <w:r>
        <w:rPr>
          <w:noProof/>
        </w:rPr>
        <w:instrText xml:space="preserve"> PAGEREF _Toc14796100 \h </w:instrText>
      </w:r>
      <w:r>
        <w:rPr>
          <w:noProof/>
        </w:rPr>
      </w:r>
      <w:r>
        <w:rPr>
          <w:noProof/>
        </w:rPr>
        <w:fldChar w:fldCharType="separate"/>
      </w:r>
      <w:r>
        <w:rPr>
          <w:noProof/>
        </w:rPr>
        <w:t>18</w:t>
      </w:r>
      <w:r>
        <w:rPr>
          <w:noProof/>
        </w:rPr>
        <w:fldChar w:fldCharType="end"/>
      </w:r>
    </w:p>
    <w:p w14:paraId="72AEAEBE" w14:textId="37158760" w:rsidR="00BC463B" w:rsidRPr="00FD551E" w:rsidRDefault="00F50AF7" w:rsidP="00B459E6">
      <w:r w:rsidRPr="00FD551E">
        <w:rPr>
          <w:b/>
          <w:bCs/>
          <w:szCs w:val="24"/>
        </w:rPr>
        <w:fldChar w:fldCharType="end"/>
      </w:r>
    </w:p>
    <w:tbl>
      <w:tblPr>
        <w:tblW w:w="0" w:type="auto"/>
        <w:shd w:val="clear" w:color="auto" w:fill="006600"/>
        <w:tblLook w:val="01E0" w:firstRow="1" w:lastRow="1" w:firstColumn="1" w:lastColumn="1" w:noHBand="0" w:noVBand="0"/>
      </w:tblPr>
      <w:tblGrid>
        <w:gridCol w:w="9069"/>
      </w:tblGrid>
      <w:tr w:rsidR="00BC463B" w:rsidRPr="00FD551E" w14:paraId="74FE12B6" w14:textId="77777777" w:rsidTr="00BC463B">
        <w:trPr>
          <w:trHeight w:val="284"/>
        </w:trPr>
        <w:tc>
          <w:tcPr>
            <w:tcW w:w="9209" w:type="dxa"/>
            <w:shd w:val="clear" w:color="auto" w:fill="006600"/>
            <w:vAlign w:val="center"/>
          </w:tcPr>
          <w:p w14:paraId="3272B106" w14:textId="22AEB87A" w:rsidR="00BC463B" w:rsidRPr="00FD551E" w:rsidRDefault="00834ED2" w:rsidP="00B459E6">
            <w:pPr>
              <w:pStyle w:val="Nadpis1"/>
            </w:pPr>
            <w:bookmarkStart w:id="2" w:name="_Toc14796089"/>
            <w:r w:rsidRPr="00FD551E">
              <w:lastRenderedPageBreak/>
              <w:t>Definice služeb</w:t>
            </w:r>
            <w:bookmarkEnd w:id="2"/>
          </w:p>
        </w:tc>
      </w:tr>
    </w:tbl>
    <w:p w14:paraId="5220C0A9" w14:textId="77777777" w:rsidR="00BC463B" w:rsidRPr="00FD551E" w:rsidRDefault="00BC463B" w:rsidP="00B459E6"/>
    <w:p w14:paraId="4D8BE6A4" w14:textId="5D0CB49B" w:rsidR="00A4690D" w:rsidRPr="00FD551E" w:rsidRDefault="00834ED2" w:rsidP="00D81B7C">
      <w:pPr>
        <w:pStyle w:val="Nadpis2"/>
      </w:pPr>
      <w:bookmarkStart w:id="3" w:name="_Toc14796090"/>
      <w:r w:rsidRPr="00FD551E">
        <w:t>Přehled služeb</w:t>
      </w:r>
      <w:bookmarkEnd w:id="3"/>
    </w:p>
    <w:p w14:paraId="4752C41F" w14:textId="6FA2621D" w:rsidR="000E4E38" w:rsidRPr="00FD551E" w:rsidRDefault="000E4E38" w:rsidP="000E4E38">
      <w:r w:rsidRPr="00FD551E">
        <w:t xml:space="preserve">Katalog služeb je detailní formulací předmětu plnění Poskytovatele a specifikuje pro Poskytovatele veškeré činností, provozní podmínky a další náležitosti Služeb, které bude nad IS </w:t>
      </w:r>
      <w:r w:rsidR="009A29D9">
        <w:t>AGIS</w:t>
      </w:r>
      <w:r w:rsidR="009A29D9" w:rsidRPr="00FD551E">
        <w:t xml:space="preserve"> </w:t>
      </w:r>
      <w:r w:rsidRPr="00FD551E">
        <w:t xml:space="preserve">vykonávat. </w:t>
      </w:r>
    </w:p>
    <w:p w14:paraId="4D3AB92B" w14:textId="77777777" w:rsidR="000E4E38" w:rsidRPr="00FD551E" w:rsidRDefault="000E4E38" w:rsidP="000E4E38"/>
    <w:p w14:paraId="60DE93A4" w14:textId="77777777" w:rsidR="000E4E38" w:rsidRPr="00FD551E" w:rsidRDefault="000E4E38" w:rsidP="000E4E38">
      <w:r w:rsidRPr="00FD551E">
        <w:t>Následující tabulky uvádí souhrnný přehled Služeb a jejich jednotlivých klíčových činností:</w:t>
      </w:r>
    </w:p>
    <w:tbl>
      <w:tblPr>
        <w:tblStyle w:val="Mkatabulky"/>
        <w:tblW w:w="9072" w:type="dxa"/>
        <w:tblInd w:w="108" w:type="dxa"/>
        <w:tblLayout w:type="fixed"/>
        <w:tblLook w:val="04A0" w:firstRow="1" w:lastRow="0" w:firstColumn="1" w:lastColumn="0" w:noHBand="0" w:noVBand="1"/>
      </w:tblPr>
      <w:tblGrid>
        <w:gridCol w:w="1588"/>
        <w:gridCol w:w="7484"/>
      </w:tblGrid>
      <w:tr w:rsidR="008B3377" w:rsidRPr="00FD551E" w14:paraId="43FB9B4F" w14:textId="77777777" w:rsidTr="00E52143">
        <w:trPr>
          <w:trHeight w:val="284"/>
        </w:trPr>
        <w:tc>
          <w:tcPr>
            <w:tcW w:w="9072" w:type="dxa"/>
            <w:gridSpan w:val="2"/>
            <w:tcBorders>
              <w:top w:val="single" w:sz="4" w:space="0" w:color="auto"/>
              <w:left w:val="single" w:sz="4" w:space="0" w:color="auto"/>
              <w:bottom w:val="single" w:sz="4" w:space="0" w:color="auto"/>
              <w:right w:val="single" w:sz="4" w:space="0" w:color="auto"/>
            </w:tcBorders>
            <w:shd w:val="clear" w:color="auto" w:fill="006600"/>
          </w:tcPr>
          <w:p w14:paraId="3642077F" w14:textId="2678179F" w:rsidR="008B3377" w:rsidRPr="00FD551E" w:rsidRDefault="00FD551E" w:rsidP="008B3377">
            <w:pPr>
              <w:jc w:val="left"/>
              <w:rPr>
                <w:b/>
              </w:rPr>
            </w:pPr>
            <w:r w:rsidRPr="00FD551E">
              <w:rPr>
                <w:b/>
              </w:rPr>
              <w:t>Služby podpory provozu IS AGIS</w:t>
            </w:r>
          </w:p>
        </w:tc>
      </w:tr>
      <w:tr w:rsidR="008B3377" w:rsidRPr="00FD551E" w14:paraId="3174CD4C" w14:textId="77777777" w:rsidTr="00E52143">
        <w:trPr>
          <w:trHeight w:val="284"/>
        </w:trPr>
        <w:tc>
          <w:tcPr>
            <w:tcW w:w="1588" w:type="dxa"/>
            <w:tcBorders>
              <w:top w:val="single" w:sz="4" w:space="0" w:color="auto"/>
              <w:left w:val="single" w:sz="4" w:space="0" w:color="auto"/>
              <w:bottom w:val="single" w:sz="4" w:space="0" w:color="auto"/>
              <w:right w:val="single" w:sz="4" w:space="0" w:color="auto"/>
            </w:tcBorders>
            <w:shd w:val="clear" w:color="auto" w:fill="AEEAC1"/>
          </w:tcPr>
          <w:p w14:paraId="34FD1C2C" w14:textId="2202E29D" w:rsidR="008B3377" w:rsidRPr="00FD551E" w:rsidRDefault="008B3377" w:rsidP="008B3377">
            <w:pPr>
              <w:jc w:val="left"/>
              <w:rPr>
                <w:b/>
              </w:rPr>
            </w:pPr>
            <w:r w:rsidRPr="00FD551E">
              <w:t>ID</w:t>
            </w:r>
          </w:p>
        </w:tc>
        <w:tc>
          <w:tcPr>
            <w:tcW w:w="7484" w:type="dxa"/>
            <w:tcBorders>
              <w:top w:val="single" w:sz="4" w:space="0" w:color="auto"/>
              <w:left w:val="single" w:sz="4" w:space="0" w:color="auto"/>
              <w:bottom w:val="single" w:sz="4" w:space="0" w:color="auto"/>
              <w:right w:val="single" w:sz="4" w:space="0" w:color="auto"/>
            </w:tcBorders>
            <w:shd w:val="clear" w:color="auto" w:fill="AEEAC1"/>
          </w:tcPr>
          <w:p w14:paraId="6D2EA4CA" w14:textId="63BC68F7" w:rsidR="008B3377" w:rsidRPr="00FD551E" w:rsidRDefault="008B3377" w:rsidP="008B3377">
            <w:pPr>
              <w:jc w:val="left"/>
              <w:rPr>
                <w:b/>
              </w:rPr>
            </w:pPr>
            <w:r w:rsidRPr="00FD551E">
              <w:t>Název služby</w:t>
            </w:r>
          </w:p>
        </w:tc>
      </w:tr>
      <w:tr w:rsidR="008B3377" w:rsidRPr="00FD551E" w14:paraId="3893A0F0" w14:textId="77777777" w:rsidTr="00E52143">
        <w:trPr>
          <w:trHeight w:val="492"/>
        </w:trPr>
        <w:tc>
          <w:tcPr>
            <w:tcW w:w="1588" w:type="dxa"/>
            <w:tcBorders>
              <w:left w:val="single" w:sz="4" w:space="0" w:color="auto"/>
              <w:bottom w:val="single" w:sz="4" w:space="0" w:color="auto"/>
              <w:right w:val="single" w:sz="4" w:space="0" w:color="auto"/>
            </w:tcBorders>
            <w:vAlign w:val="center"/>
          </w:tcPr>
          <w:p w14:paraId="75A877D9" w14:textId="5B07D66C" w:rsidR="008B3377" w:rsidRPr="00FD551E" w:rsidRDefault="00FD551E" w:rsidP="00227855">
            <w:pPr>
              <w:jc w:val="left"/>
              <w:rPr>
                <w:rFonts w:eastAsiaTheme="minorHAnsi"/>
              </w:rPr>
            </w:pPr>
            <w:r w:rsidRPr="00FD551E">
              <w:rPr>
                <w:rFonts w:eastAsiaTheme="minorHAnsi"/>
              </w:rPr>
              <w:t>01</w:t>
            </w:r>
          </w:p>
        </w:tc>
        <w:tc>
          <w:tcPr>
            <w:tcW w:w="7484" w:type="dxa"/>
            <w:tcBorders>
              <w:left w:val="single" w:sz="4" w:space="0" w:color="auto"/>
              <w:bottom w:val="single" w:sz="4" w:space="0" w:color="auto"/>
              <w:right w:val="single" w:sz="4" w:space="0" w:color="auto"/>
            </w:tcBorders>
            <w:vAlign w:val="center"/>
          </w:tcPr>
          <w:p w14:paraId="5B0AC56E" w14:textId="564B2B53" w:rsidR="008B3377" w:rsidRPr="00FD551E" w:rsidRDefault="00FD551E" w:rsidP="00FD551E">
            <w:pPr>
              <w:jc w:val="left"/>
              <w:rPr>
                <w:rFonts w:eastAsiaTheme="minorHAnsi"/>
              </w:rPr>
            </w:pPr>
            <w:r w:rsidRPr="00FD551E">
              <w:rPr>
                <w:rFonts w:eastAsiaTheme="minorHAnsi"/>
              </w:rPr>
              <w:t xml:space="preserve">Poskytování </w:t>
            </w:r>
            <w:r>
              <w:rPr>
                <w:rFonts w:eastAsiaTheme="minorHAnsi"/>
              </w:rPr>
              <w:t>uživatelské podpory</w:t>
            </w:r>
          </w:p>
        </w:tc>
      </w:tr>
      <w:tr w:rsidR="008B3377" w:rsidRPr="00FD551E" w14:paraId="4A8593DB" w14:textId="77777777" w:rsidTr="00E52143">
        <w:trPr>
          <w:trHeight w:val="492"/>
        </w:trPr>
        <w:tc>
          <w:tcPr>
            <w:tcW w:w="1588" w:type="dxa"/>
            <w:tcBorders>
              <w:top w:val="single" w:sz="4" w:space="0" w:color="auto"/>
              <w:left w:val="single" w:sz="4" w:space="0" w:color="auto"/>
              <w:bottom w:val="single" w:sz="4" w:space="0" w:color="auto"/>
              <w:right w:val="single" w:sz="4" w:space="0" w:color="auto"/>
            </w:tcBorders>
            <w:vAlign w:val="center"/>
          </w:tcPr>
          <w:p w14:paraId="40203B87" w14:textId="56B9C14E" w:rsidR="008B3377" w:rsidRPr="00FD551E" w:rsidRDefault="00FD551E" w:rsidP="00227855">
            <w:pPr>
              <w:jc w:val="left"/>
              <w:rPr>
                <w:rFonts w:eastAsiaTheme="minorHAnsi"/>
              </w:rPr>
            </w:pPr>
            <w:r w:rsidRPr="00FD551E">
              <w:rPr>
                <w:rFonts w:eastAsiaTheme="minorHAnsi"/>
              </w:rPr>
              <w:t>02</w:t>
            </w:r>
          </w:p>
        </w:tc>
        <w:tc>
          <w:tcPr>
            <w:tcW w:w="7484" w:type="dxa"/>
            <w:tcBorders>
              <w:top w:val="single" w:sz="4" w:space="0" w:color="auto"/>
              <w:left w:val="single" w:sz="4" w:space="0" w:color="auto"/>
              <w:bottom w:val="single" w:sz="4" w:space="0" w:color="auto"/>
              <w:right w:val="single" w:sz="4" w:space="0" w:color="auto"/>
            </w:tcBorders>
            <w:vAlign w:val="center"/>
          </w:tcPr>
          <w:p w14:paraId="2F989138" w14:textId="1CCA0012" w:rsidR="008B3377" w:rsidRPr="00FD551E" w:rsidRDefault="00FD551E" w:rsidP="00227855">
            <w:pPr>
              <w:jc w:val="left"/>
              <w:rPr>
                <w:rFonts w:eastAsiaTheme="minorHAnsi"/>
              </w:rPr>
            </w:pPr>
            <w:r>
              <w:rPr>
                <w:rFonts w:eastAsiaTheme="minorHAnsi"/>
              </w:rPr>
              <w:t>Administrace systémového landscape</w:t>
            </w:r>
          </w:p>
        </w:tc>
      </w:tr>
    </w:tbl>
    <w:p w14:paraId="67D1BE32" w14:textId="77777777" w:rsidR="000E4E38" w:rsidRDefault="000E4E38" w:rsidP="000E4E38">
      <w:pPr>
        <w:tabs>
          <w:tab w:val="left" w:pos="1210"/>
          <w:tab w:val="left" w:pos="4361"/>
        </w:tabs>
        <w:ind w:left="108"/>
        <w:jc w:val="left"/>
        <w:rPr>
          <w:rFonts w:eastAsiaTheme="minorHAnsi"/>
        </w:rPr>
      </w:pPr>
    </w:p>
    <w:tbl>
      <w:tblPr>
        <w:tblStyle w:val="Mkatabulky"/>
        <w:tblW w:w="9072" w:type="dxa"/>
        <w:tblInd w:w="108" w:type="dxa"/>
        <w:tblLayout w:type="fixed"/>
        <w:tblLook w:val="04A0" w:firstRow="1" w:lastRow="0" w:firstColumn="1" w:lastColumn="0" w:noHBand="0" w:noVBand="1"/>
      </w:tblPr>
      <w:tblGrid>
        <w:gridCol w:w="1588"/>
        <w:gridCol w:w="7484"/>
      </w:tblGrid>
      <w:tr w:rsidR="00FD551E" w:rsidRPr="00FD551E" w14:paraId="6F4685A8" w14:textId="77777777" w:rsidTr="00E52143">
        <w:trPr>
          <w:trHeight w:val="284"/>
        </w:trPr>
        <w:tc>
          <w:tcPr>
            <w:tcW w:w="9072" w:type="dxa"/>
            <w:gridSpan w:val="2"/>
            <w:tcBorders>
              <w:top w:val="single" w:sz="4" w:space="0" w:color="auto"/>
              <w:left w:val="single" w:sz="4" w:space="0" w:color="auto"/>
              <w:bottom w:val="single" w:sz="4" w:space="0" w:color="auto"/>
              <w:right w:val="single" w:sz="4" w:space="0" w:color="auto"/>
            </w:tcBorders>
            <w:shd w:val="clear" w:color="auto" w:fill="006600"/>
          </w:tcPr>
          <w:p w14:paraId="7F72B995" w14:textId="5F6EB0BF" w:rsidR="00FD551E" w:rsidRPr="00FD551E" w:rsidRDefault="00FD551E" w:rsidP="00FD551E">
            <w:pPr>
              <w:jc w:val="left"/>
              <w:rPr>
                <w:b/>
              </w:rPr>
            </w:pPr>
            <w:r w:rsidRPr="00FD551E">
              <w:rPr>
                <w:b/>
              </w:rPr>
              <w:t xml:space="preserve">Služby </w:t>
            </w:r>
            <w:r>
              <w:rPr>
                <w:b/>
              </w:rPr>
              <w:t xml:space="preserve">aplikační </w:t>
            </w:r>
            <w:r w:rsidRPr="00FD551E">
              <w:rPr>
                <w:b/>
              </w:rPr>
              <w:t>podpory IS AGIS</w:t>
            </w:r>
          </w:p>
        </w:tc>
      </w:tr>
      <w:tr w:rsidR="00FD551E" w:rsidRPr="00FD551E" w14:paraId="05DBAC0E" w14:textId="77777777" w:rsidTr="00E52143">
        <w:trPr>
          <w:trHeight w:val="284"/>
        </w:trPr>
        <w:tc>
          <w:tcPr>
            <w:tcW w:w="1588" w:type="dxa"/>
            <w:tcBorders>
              <w:top w:val="single" w:sz="4" w:space="0" w:color="auto"/>
              <w:left w:val="single" w:sz="4" w:space="0" w:color="auto"/>
              <w:bottom w:val="single" w:sz="4" w:space="0" w:color="auto"/>
              <w:right w:val="single" w:sz="4" w:space="0" w:color="auto"/>
            </w:tcBorders>
            <w:shd w:val="clear" w:color="auto" w:fill="AEEAC1"/>
          </w:tcPr>
          <w:p w14:paraId="7F827A09" w14:textId="77777777" w:rsidR="00FD551E" w:rsidRPr="00FD551E" w:rsidRDefault="00FD551E" w:rsidP="00663A38">
            <w:pPr>
              <w:jc w:val="left"/>
              <w:rPr>
                <w:b/>
              </w:rPr>
            </w:pPr>
            <w:r w:rsidRPr="00FD551E">
              <w:t>ID</w:t>
            </w:r>
          </w:p>
        </w:tc>
        <w:tc>
          <w:tcPr>
            <w:tcW w:w="7484" w:type="dxa"/>
            <w:tcBorders>
              <w:top w:val="single" w:sz="4" w:space="0" w:color="auto"/>
              <w:left w:val="single" w:sz="4" w:space="0" w:color="auto"/>
              <w:bottom w:val="single" w:sz="4" w:space="0" w:color="auto"/>
              <w:right w:val="single" w:sz="4" w:space="0" w:color="auto"/>
            </w:tcBorders>
            <w:shd w:val="clear" w:color="auto" w:fill="AEEAC1"/>
          </w:tcPr>
          <w:p w14:paraId="4B909CC9" w14:textId="77777777" w:rsidR="00FD551E" w:rsidRPr="00FD551E" w:rsidRDefault="00FD551E" w:rsidP="00663A38">
            <w:pPr>
              <w:jc w:val="left"/>
              <w:rPr>
                <w:b/>
              </w:rPr>
            </w:pPr>
            <w:r w:rsidRPr="00FD551E">
              <w:t>Název služby</w:t>
            </w:r>
          </w:p>
        </w:tc>
      </w:tr>
      <w:tr w:rsidR="00FD551E" w:rsidRPr="00FD551E" w14:paraId="7A35675C" w14:textId="77777777" w:rsidTr="00E52143">
        <w:trPr>
          <w:trHeight w:val="492"/>
        </w:trPr>
        <w:tc>
          <w:tcPr>
            <w:tcW w:w="1588" w:type="dxa"/>
            <w:tcBorders>
              <w:left w:val="single" w:sz="4" w:space="0" w:color="auto"/>
              <w:bottom w:val="single" w:sz="4" w:space="0" w:color="auto"/>
              <w:right w:val="single" w:sz="4" w:space="0" w:color="auto"/>
            </w:tcBorders>
            <w:vAlign w:val="center"/>
          </w:tcPr>
          <w:p w14:paraId="5764512D" w14:textId="741561F2" w:rsidR="00FD551E" w:rsidRPr="00FD551E" w:rsidRDefault="00FD551E" w:rsidP="00663A38">
            <w:pPr>
              <w:jc w:val="left"/>
              <w:rPr>
                <w:rFonts w:eastAsiaTheme="minorHAnsi"/>
              </w:rPr>
            </w:pPr>
            <w:r>
              <w:rPr>
                <w:rFonts w:eastAsiaTheme="minorHAnsi"/>
              </w:rPr>
              <w:t>03</w:t>
            </w:r>
          </w:p>
        </w:tc>
        <w:tc>
          <w:tcPr>
            <w:tcW w:w="7484" w:type="dxa"/>
            <w:tcBorders>
              <w:left w:val="single" w:sz="4" w:space="0" w:color="auto"/>
              <w:bottom w:val="single" w:sz="4" w:space="0" w:color="auto"/>
              <w:right w:val="single" w:sz="4" w:space="0" w:color="auto"/>
            </w:tcBorders>
            <w:vAlign w:val="center"/>
          </w:tcPr>
          <w:p w14:paraId="3E8B1F1D" w14:textId="56555A7A" w:rsidR="00FD551E" w:rsidRPr="00FD551E" w:rsidRDefault="00FD551E" w:rsidP="00663A38">
            <w:pPr>
              <w:jc w:val="left"/>
              <w:rPr>
                <w:rFonts w:eastAsiaTheme="minorHAnsi"/>
              </w:rPr>
            </w:pPr>
            <w:r>
              <w:rPr>
                <w:rFonts w:eastAsiaTheme="minorHAnsi"/>
              </w:rPr>
              <w:t>Řešení provozních problémů</w:t>
            </w:r>
          </w:p>
        </w:tc>
      </w:tr>
      <w:tr w:rsidR="00FD551E" w:rsidRPr="00FD551E" w14:paraId="524FD081" w14:textId="77777777" w:rsidTr="00E52143">
        <w:trPr>
          <w:trHeight w:val="492"/>
        </w:trPr>
        <w:tc>
          <w:tcPr>
            <w:tcW w:w="1588" w:type="dxa"/>
            <w:tcBorders>
              <w:top w:val="single" w:sz="4" w:space="0" w:color="auto"/>
              <w:left w:val="single" w:sz="4" w:space="0" w:color="auto"/>
              <w:bottom w:val="single" w:sz="4" w:space="0" w:color="auto"/>
              <w:right w:val="single" w:sz="4" w:space="0" w:color="auto"/>
            </w:tcBorders>
            <w:vAlign w:val="center"/>
          </w:tcPr>
          <w:p w14:paraId="6DCB2DBA" w14:textId="163367B8" w:rsidR="00FD551E" w:rsidRPr="00FD551E" w:rsidRDefault="00FD551E" w:rsidP="00663A38">
            <w:pPr>
              <w:jc w:val="left"/>
              <w:rPr>
                <w:rFonts w:eastAsiaTheme="minorHAnsi"/>
              </w:rPr>
            </w:pPr>
            <w:r>
              <w:rPr>
                <w:rFonts w:eastAsiaTheme="minorHAnsi"/>
              </w:rPr>
              <w:t>04</w:t>
            </w:r>
          </w:p>
        </w:tc>
        <w:tc>
          <w:tcPr>
            <w:tcW w:w="7484" w:type="dxa"/>
            <w:tcBorders>
              <w:top w:val="single" w:sz="4" w:space="0" w:color="auto"/>
              <w:left w:val="single" w:sz="4" w:space="0" w:color="auto"/>
              <w:bottom w:val="single" w:sz="4" w:space="0" w:color="auto"/>
              <w:right w:val="single" w:sz="4" w:space="0" w:color="auto"/>
            </w:tcBorders>
            <w:vAlign w:val="center"/>
          </w:tcPr>
          <w:p w14:paraId="26A63BC6" w14:textId="0AC3ADF4" w:rsidR="00FD551E" w:rsidRPr="00FD551E" w:rsidRDefault="00FD551E" w:rsidP="00663A38">
            <w:pPr>
              <w:jc w:val="left"/>
              <w:rPr>
                <w:rFonts w:eastAsiaTheme="minorHAnsi"/>
              </w:rPr>
            </w:pPr>
            <w:r>
              <w:rPr>
                <w:rFonts w:eastAsiaTheme="minorHAnsi"/>
              </w:rPr>
              <w:t>Řešení změnových požadavků</w:t>
            </w:r>
          </w:p>
        </w:tc>
      </w:tr>
      <w:tr w:rsidR="00FD551E" w:rsidRPr="00FD551E" w14:paraId="181CCEBD" w14:textId="77777777" w:rsidTr="00E52143">
        <w:trPr>
          <w:trHeight w:val="492"/>
        </w:trPr>
        <w:tc>
          <w:tcPr>
            <w:tcW w:w="1588" w:type="dxa"/>
            <w:tcBorders>
              <w:top w:val="single" w:sz="4" w:space="0" w:color="auto"/>
              <w:left w:val="single" w:sz="4" w:space="0" w:color="auto"/>
              <w:bottom w:val="single" w:sz="4" w:space="0" w:color="auto"/>
              <w:right w:val="single" w:sz="4" w:space="0" w:color="auto"/>
            </w:tcBorders>
            <w:vAlign w:val="center"/>
          </w:tcPr>
          <w:p w14:paraId="50C3D4B6" w14:textId="4D1EAF39" w:rsidR="00FD551E" w:rsidRPr="00FD551E" w:rsidRDefault="00FD551E" w:rsidP="00663A38">
            <w:pPr>
              <w:jc w:val="left"/>
              <w:rPr>
                <w:rFonts w:eastAsiaTheme="minorHAnsi"/>
              </w:rPr>
            </w:pPr>
            <w:r>
              <w:rPr>
                <w:rFonts w:eastAsiaTheme="minorHAnsi"/>
              </w:rPr>
              <w:t>05</w:t>
            </w:r>
          </w:p>
        </w:tc>
        <w:tc>
          <w:tcPr>
            <w:tcW w:w="7484" w:type="dxa"/>
            <w:tcBorders>
              <w:top w:val="single" w:sz="4" w:space="0" w:color="auto"/>
              <w:left w:val="single" w:sz="4" w:space="0" w:color="auto"/>
              <w:bottom w:val="single" w:sz="4" w:space="0" w:color="auto"/>
              <w:right w:val="single" w:sz="4" w:space="0" w:color="auto"/>
            </w:tcBorders>
            <w:vAlign w:val="center"/>
          </w:tcPr>
          <w:p w14:paraId="03C42DC7" w14:textId="6251BB51" w:rsidR="00FD551E" w:rsidRDefault="00FD551E" w:rsidP="00663A38">
            <w:pPr>
              <w:jc w:val="left"/>
              <w:rPr>
                <w:rFonts w:eastAsiaTheme="minorHAnsi"/>
              </w:rPr>
            </w:pPr>
            <w:r>
              <w:rPr>
                <w:rFonts w:eastAsiaTheme="minorHAnsi"/>
              </w:rPr>
              <w:t>Konzultace a školení uživatelů</w:t>
            </w:r>
          </w:p>
        </w:tc>
      </w:tr>
      <w:tr w:rsidR="00FD551E" w:rsidRPr="00FD551E" w14:paraId="53A90589" w14:textId="77777777" w:rsidTr="00E52143">
        <w:trPr>
          <w:trHeight w:val="492"/>
        </w:trPr>
        <w:tc>
          <w:tcPr>
            <w:tcW w:w="1588" w:type="dxa"/>
            <w:tcBorders>
              <w:top w:val="single" w:sz="4" w:space="0" w:color="auto"/>
              <w:left w:val="single" w:sz="4" w:space="0" w:color="auto"/>
              <w:bottom w:val="single" w:sz="4" w:space="0" w:color="auto"/>
              <w:right w:val="single" w:sz="4" w:space="0" w:color="auto"/>
            </w:tcBorders>
            <w:vAlign w:val="center"/>
          </w:tcPr>
          <w:p w14:paraId="32FC417A" w14:textId="2D34EC15" w:rsidR="00FD551E" w:rsidRPr="00FD551E" w:rsidRDefault="00FD551E" w:rsidP="00663A38">
            <w:pPr>
              <w:jc w:val="left"/>
              <w:rPr>
                <w:rFonts w:eastAsiaTheme="minorHAnsi"/>
              </w:rPr>
            </w:pPr>
            <w:r>
              <w:rPr>
                <w:rFonts w:eastAsiaTheme="minorHAnsi"/>
              </w:rPr>
              <w:t>06</w:t>
            </w:r>
          </w:p>
        </w:tc>
        <w:tc>
          <w:tcPr>
            <w:tcW w:w="7484" w:type="dxa"/>
            <w:tcBorders>
              <w:top w:val="single" w:sz="4" w:space="0" w:color="auto"/>
              <w:left w:val="single" w:sz="4" w:space="0" w:color="auto"/>
              <w:bottom w:val="single" w:sz="4" w:space="0" w:color="auto"/>
              <w:right w:val="single" w:sz="4" w:space="0" w:color="auto"/>
            </w:tcBorders>
            <w:vAlign w:val="center"/>
          </w:tcPr>
          <w:p w14:paraId="1268A5B0" w14:textId="748BFC85" w:rsidR="00FD551E" w:rsidRDefault="00FD551E" w:rsidP="00663A38">
            <w:pPr>
              <w:jc w:val="left"/>
              <w:rPr>
                <w:rFonts w:eastAsiaTheme="minorHAnsi"/>
              </w:rPr>
            </w:pPr>
            <w:r>
              <w:rPr>
                <w:rFonts w:eastAsiaTheme="minorHAnsi"/>
              </w:rPr>
              <w:t>Řízení a koordinace IS AGIS</w:t>
            </w:r>
          </w:p>
        </w:tc>
      </w:tr>
    </w:tbl>
    <w:p w14:paraId="5AFEB9D5" w14:textId="77777777" w:rsidR="00FD551E" w:rsidRDefault="00FD551E" w:rsidP="00FD551E">
      <w:pPr>
        <w:tabs>
          <w:tab w:val="left" w:pos="1210"/>
          <w:tab w:val="left" w:pos="4361"/>
        </w:tabs>
        <w:ind w:left="108"/>
        <w:jc w:val="left"/>
        <w:rPr>
          <w:rFonts w:eastAsiaTheme="minorHAnsi"/>
        </w:rPr>
      </w:pPr>
    </w:p>
    <w:tbl>
      <w:tblPr>
        <w:tblStyle w:val="Mkatabulky"/>
        <w:tblW w:w="9072" w:type="dxa"/>
        <w:tblInd w:w="108" w:type="dxa"/>
        <w:tblLayout w:type="fixed"/>
        <w:tblLook w:val="04A0" w:firstRow="1" w:lastRow="0" w:firstColumn="1" w:lastColumn="0" w:noHBand="0" w:noVBand="1"/>
      </w:tblPr>
      <w:tblGrid>
        <w:gridCol w:w="1588"/>
        <w:gridCol w:w="7484"/>
      </w:tblGrid>
      <w:tr w:rsidR="00FD551E" w:rsidRPr="00FD551E" w14:paraId="01DD4D37" w14:textId="77777777" w:rsidTr="00E52143">
        <w:trPr>
          <w:trHeight w:val="284"/>
        </w:trPr>
        <w:tc>
          <w:tcPr>
            <w:tcW w:w="9072" w:type="dxa"/>
            <w:gridSpan w:val="2"/>
            <w:tcBorders>
              <w:top w:val="single" w:sz="4" w:space="0" w:color="auto"/>
              <w:left w:val="single" w:sz="4" w:space="0" w:color="auto"/>
              <w:bottom w:val="single" w:sz="4" w:space="0" w:color="auto"/>
              <w:right w:val="single" w:sz="4" w:space="0" w:color="auto"/>
            </w:tcBorders>
            <w:shd w:val="clear" w:color="auto" w:fill="006600"/>
          </w:tcPr>
          <w:p w14:paraId="4D20E425" w14:textId="045C8C61" w:rsidR="00FD551E" w:rsidRPr="00FD551E" w:rsidRDefault="00FD551E" w:rsidP="00663A38">
            <w:pPr>
              <w:jc w:val="left"/>
              <w:rPr>
                <w:b/>
              </w:rPr>
            </w:pPr>
            <w:r>
              <w:rPr>
                <w:b/>
              </w:rPr>
              <w:t>Jednorázové služby</w:t>
            </w:r>
          </w:p>
        </w:tc>
      </w:tr>
      <w:tr w:rsidR="00FD551E" w:rsidRPr="00FD551E" w14:paraId="37E306F2" w14:textId="77777777" w:rsidTr="00E52143">
        <w:trPr>
          <w:trHeight w:val="284"/>
        </w:trPr>
        <w:tc>
          <w:tcPr>
            <w:tcW w:w="1588" w:type="dxa"/>
            <w:tcBorders>
              <w:top w:val="single" w:sz="4" w:space="0" w:color="auto"/>
              <w:left w:val="single" w:sz="4" w:space="0" w:color="auto"/>
              <w:bottom w:val="single" w:sz="4" w:space="0" w:color="auto"/>
              <w:right w:val="single" w:sz="4" w:space="0" w:color="auto"/>
            </w:tcBorders>
            <w:shd w:val="clear" w:color="auto" w:fill="AEEAC1"/>
          </w:tcPr>
          <w:p w14:paraId="21E7EE6E" w14:textId="77777777" w:rsidR="00FD551E" w:rsidRPr="00FD551E" w:rsidRDefault="00FD551E" w:rsidP="00663A38">
            <w:pPr>
              <w:jc w:val="left"/>
              <w:rPr>
                <w:b/>
              </w:rPr>
            </w:pPr>
            <w:r w:rsidRPr="00FD551E">
              <w:t>ID</w:t>
            </w:r>
          </w:p>
        </w:tc>
        <w:tc>
          <w:tcPr>
            <w:tcW w:w="7484" w:type="dxa"/>
            <w:tcBorders>
              <w:top w:val="single" w:sz="4" w:space="0" w:color="auto"/>
              <w:left w:val="single" w:sz="4" w:space="0" w:color="auto"/>
              <w:bottom w:val="single" w:sz="4" w:space="0" w:color="auto"/>
              <w:right w:val="single" w:sz="4" w:space="0" w:color="auto"/>
            </w:tcBorders>
            <w:shd w:val="clear" w:color="auto" w:fill="AEEAC1"/>
          </w:tcPr>
          <w:p w14:paraId="59B2B553" w14:textId="77777777" w:rsidR="00FD551E" w:rsidRPr="00FD551E" w:rsidRDefault="00FD551E" w:rsidP="00663A38">
            <w:pPr>
              <w:jc w:val="left"/>
              <w:rPr>
                <w:b/>
              </w:rPr>
            </w:pPr>
            <w:r w:rsidRPr="00FD551E">
              <w:t>Název služby</w:t>
            </w:r>
          </w:p>
        </w:tc>
      </w:tr>
      <w:tr w:rsidR="00FD551E" w:rsidRPr="00FD551E" w14:paraId="1373F79D" w14:textId="77777777" w:rsidTr="00E52143">
        <w:trPr>
          <w:trHeight w:val="492"/>
        </w:trPr>
        <w:tc>
          <w:tcPr>
            <w:tcW w:w="1588" w:type="dxa"/>
            <w:tcBorders>
              <w:left w:val="single" w:sz="4" w:space="0" w:color="auto"/>
              <w:bottom w:val="single" w:sz="4" w:space="0" w:color="auto"/>
              <w:right w:val="single" w:sz="4" w:space="0" w:color="auto"/>
            </w:tcBorders>
            <w:vAlign w:val="center"/>
          </w:tcPr>
          <w:p w14:paraId="1B8E4AEE" w14:textId="7089F166" w:rsidR="00FD551E" w:rsidRPr="00FD551E" w:rsidRDefault="00FD551E" w:rsidP="00FD551E">
            <w:pPr>
              <w:jc w:val="left"/>
              <w:rPr>
                <w:rFonts w:eastAsiaTheme="minorHAnsi"/>
              </w:rPr>
            </w:pPr>
            <w:r>
              <w:rPr>
                <w:rFonts w:eastAsiaTheme="minorHAnsi"/>
              </w:rPr>
              <w:t>07</w:t>
            </w:r>
          </w:p>
        </w:tc>
        <w:tc>
          <w:tcPr>
            <w:tcW w:w="7484" w:type="dxa"/>
            <w:tcBorders>
              <w:left w:val="single" w:sz="4" w:space="0" w:color="auto"/>
              <w:bottom w:val="single" w:sz="4" w:space="0" w:color="auto"/>
              <w:right w:val="single" w:sz="4" w:space="0" w:color="auto"/>
            </w:tcBorders>
            <w:vAlign w:val="center"/>
          </w:tcPr>
          <w:p w14:paraId="3CDD5E35" w14:textId="2EB06161" w:rsidR="00FD551E" w:rsidRPr="00FD551E" w:rsidRDefault="00CC58B5" w:rsidP="00663A38">
            <w:pPr>
              <w:jc w:val="left"/>
              <w:rPr>
                <w:rFonts w:eastAsiaTheme="minorHAnsi"/>
              </w:rPr>
            </w:pPr>
            <w:r w:rsidRPr="00FD551E">
              <w:rPr>
                <w:rFonts w:eastAsiaTheme="minorHAnsi"/>
              </w:rPr>
              <w:t>Řízené ukončení poskytování služeb</w:t>
            </w:r>
          </w:p>
        </w:tc>
      </w:tr>
    </w:tbl>
    <w:p w14:paraId="74049F41" w14:textId="77777777" w:rsidR="00FD551E" w:rsidRDefault="00FD551E" w:rsidP="00FD551E">
      <w:pPr>
        <w:tabs>
          <w:tab w:val="left" w:pos="1210"/>
          <w:tab w:val="left" w:pos="4361"/>
        </w:tabs>
        <w:ind w:left="108"/>
        <w:jc w:val="left"/>
        <w:rPr>
          <w:rFonts w:eastAsiaTheme="minorHAnsi"/>
        </w:rPr>
      </w:pPr>
    </w:p>
    <w:tbl>
      <w:tblPr>
        <w:tblW w:w="9322" w:type="dxa"/>
        <w:tblLook w:val="01E0" w:firstRow="1" w:lastRow="1" w:firstColumn="1" w:lastColumn="1" w:noHBand="0" w:noVBand="0"/>
      </w:tblPr>
      <w:tblGrid>
        <w:gridCol w:w="9322"/>
      </w:tblGrid>
      <w:tr w:rsidR="00B27834" w:rsidRPr="00FD551E" w14:paraId="7C9FC9DB" w14:textId="77777777" w:rsidTr="00E52143">
        <w:trPr>
          <w:trHeight w:val="284"/>
        </w:trPr>
        <w:tc>
          <w:tcPr>
            <w:tcW w:w="9322" w:type="dxa"/>
            <w:shd w:val="clear" w:color="auto" w:fill="006600"/>
            <w:vAlign w:val="center"/>
          </w:tcPr>
          <w:p w14:paraId="45E85208" w14:textId="3C6A309B" w:rsidR="00B27834" w:rsidRPr="00FD551E" w:rsidRDefault="00B27834" w:rsidP="004474DC">
            <w:pPr>
              <w:pStyle w:val="Nadpis1"/>
            </w:pPr>
            <w:bookmarkStart w:id="4" w:name="_Toc14796091"/>
            <w:r w:rsidRPr="00FD551E">
              <w:lastRenderedPageBreak/>
              <w:t xml:space="preserve">Katalogové listy – Služby </w:t>
            </w:r>
            <w:r w:rsidR="004474DC" w:rsidRPr="00FD551E">
              <w:t>podpory provozu IS AGIS</w:t>
            </w:r>
            <w:bookmarkEnd w:id="4"/>
          </w:p>
        </w:tc>
      </w:tr>
    </w:tbl>
    <w:p w14:paraId="7B58AB66" w14:textId="0F1531FE" w:rsidR="00D20FE5" w:rsidRPr="00FD551E" w:rsidRDefault="00D20FE5" w:rsidP="00D81B7C">
      <w:pPr>
        <w:pStyle w:val="Nadpis2"/>
      </w:pPr>
      <w:bookmarkStart w:id="5" w:name="_Toc260038511"/>
      <w:bookmarkStart w:id="6" w:name="_Toc14796092"/>
      <w:r w:rsidRPr="00FD551E">
        <w:t>Služba</w:t>
      </w:r>
      <w:r w:rsidR="00684F58" w:rsidRPr="00FD551E">
        <w:t xml:space="preserve"> č. 01 -</w:t>
      </w:r>
      <w:r w:rsidRPr="00FD551E">
        <w:t xml:space="preserve"> </w:t>
      </w:r>
      <w:r w:rsidR="004474DC" w:rsidRPr="00FD551E">
        <w:t>Poskytování uživatelské podpory</w:t>
      </w:r>
      <w:bookmarkEnd w:id="5"/>
      <w:bookmarkEnd w:id="6"/>
      <w:r w:rsidRPr="00FD551E">
        <w:t xml:space="preserve"> </w:t>
      </w:r>
    </w:p>
    <w:tbl>
      <w:tblPr>
        <w:tblW w:w="9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3"/>
        <w:gridCol w:w="7441"/>
      </w:tblGrid>
      <w:tr w:rsidR="00F3712C" w:rsidRPr="00FD551E" w14:paraId="6C5A7A28" w14:textId="77777777" w:rsidTr="00E52143">
        <w:trPr>
          <w:trHeight w:val="315"/>
          <w:tblHeader/>
        </w:trPr>
        <w:tc>
          <w:tcPr>
            <w:tcW w:w="1843" w:type="dxa"/>
            <w:shd w:val="clear" w:color="auto" w:fill="006600"/>
            <w:noWrap/>
            <w:vAlign w:val="center"/>
          </w:tcPr>
          <w:p w14:paraId="0B852B60" w14:textId="77777777" w:rsidR="00F3712C" w:rsidRPr="00FD551E" w:rsidRDefault="00F3712C" w:rsidP="00CC04F4">
            <w:pPr>
              <w:rPr>
                <w:rFonts w:cs="Arial"/>
                <w:b/>
              </w:rPr>
            </w:pPr>
            <w:r w:rsidRPr="00FD551E">
              <w:rPr>
                <w:rFonts w:cs="Arial"/>
                <w:b/>
              </w:rPr>
              <w:t>Název služby</w:t>
            </w:r>
          </w:p>
        </w:tc>
        <w:tc>
          <w:tcPr>
            <w:tcW w:w="7441" w:type="dxa"/>
            <w:shd w:val="clear" w:color="auto" w:fill="006600"/>
            <w:vAlign w:val="center"/>
          </w:tcPr>
          <w:p w14:paraId="0EDDC1A4" w14:textId="076FACCA" w:rsidR="00F3712C" w:rsidRPr="00FD551E" w:rsidRDefault="00AE4D01" w:rsidP="00CC04F4">
            <w:pPr>
              <w:rPr>
                <w:rFonts w:cs="Arial"/>
                <w:b/>
              </w:rPr>
            </w:pPr>
            <w:r w:rsidRPr="00FD551E">
              <w:rPr>
                <w:rFonts w:cs="Arial"/>
                <w:b/>
              </w:rPr>
              <w:t>P</w:t>
            </w:r>
            <w:r w:rsidR="00F3712C" w:rsidRPr="00FD551E">
              <w:rPr>
                <w:rFonts w:cs="Arial"/>
                <w:b/>
              </w:rPr>
              <w:t>oskytování uživatelské podpory</w:t>
            </w:r>
          </w:p>
        </w:tc>
      </w:tr>
      <w:tr w:rsidR="00F3712C" w:rsidRPr="00FD551E" w14:paraId="7E996B8F" w14:textId="77777777" w:rsidTr="00E52143">
        <w:trPr>
          <w:trHeight w:val="408"/>
          <w:tblHeader/>
        </w:trPr>
        <w:tc>
          <w:tcPr>
            <w:tcW w:w="1843" w:type="dxa"/>
            <w:tcBorders>
              <w:bottom w:val="single" w:sz="6" w:space="0" w:color="auto"/>
            </w:tcBorders>
            <w:shd w:val="clear" w:color="auto" w:fill="AEEAC1"/>
          </w:tcPr>
          <w:p w14:paraId="660D389B" w14:textId="77777777" w:rsidR="00F3712C" w:rsidRPr="00FD551E" w:rsidRDefault="00F3712C" w:rsidP="00CC04F4">
            <w:pPr>
              <w:rPr>
                <w:rFonts w:cs="Arial"/>
                <w:b/>
                <w:bCs/>
              </w:rPr>
            </w:pPr>
            <w:r w:rsidRPr="00FD551E">
              <w:rPr>
                <w:rFonts w:cs="Arial"/>
                <w:b/>
                <w:bCs/>
              </w:rPr>
              <w:t>Skupina služeb</w:t>
            </w:r>
          </w:p>
        </w:tc>
        <w:tc>
          <w:tcPr>
            <w:tcW w:w="7441" w:type="dxa"/>
            <w:shd w:val="clear" w:color="auto" w:fill="AEEAC1"/>
          </w:tcPr>
          <w:p w14:paraId="244177B0" w14:textId="77777777" w:rsidR="00F3712C" w:rsidRPr="00FD551E" w:rsidRDefault="00F3712C" w:rsidP="00CC04F4">
            <w:pPr>
              <w:tabs>
                <w:tab w:val="left" w:pos="8102"/>
              </w:tabs>
              <w:rPr>
                <w:rFonts w:cs="Arial"/>
              </w:rPr>
            </w:pPr>
            <w:r w:rsidRPr="00FD551E">
              <w:rPr>
                <w:rFonts w:cs="Arial"/>
              </w:rPr>
              <w:t>Podpora provozu IS AGIS</w:t>
            </w:r>
          </w:p>
        </w:tc>
      </w:tr>
      <w:tr w:rsidR="00F3712C" w:rsidRPr="00FD551E" w14:paraId="30C5526B" w14:textId="77777777" w:rsidTr="00E52143">
        <w:trPr>
          <w:trHeight w:val="1716"/>
        </w:trPr>
        <w:tc>
          <w:tcPr>
            <w:tcW w:w="1843" w:type="dxa"/>
            <w:shd w:val="clear" w:color="auto" w:fill="AEEAC1"/>
          </w:tcPr>
          <w:p w14:paraId="5EC037DF" w14:textId="77777777" w:rsidR="00F3712C" w:rsidRPr="00FD551E" w:rsidRDefault="00F3712C" w:rsidP="00684F58">
            <w:pPr>
              <w:jc w:val="left"/>
              <w:rPr>
                <w:rFonts w:cs="Arial"/>
                <w:b/>
                <w:bCs/>
              </w:rPr>
            </w:pPr>
            <w:r w:rsidRPr="00FD551E">
              <w:rPr>
                <w:rFonts w:cs="Arial"/>
                <w:b/>
                <w:bCs/>
              </w:rPr>
              <w:t>Popis služby</w:t>
            </w:r>
          </w:p>
        </w:tc>
        <w:tc>
          <w:tcPr>
            <w:tcW w:w="7441" w:type="dxa"/>
          </w:tcPr>
          <w:p w14:paraId="192F2848" w14:textId="41290987" w:rsidR="00684F58" w:rsidRPr="00FD551E" w:rsidRDefault="00F3712C" w:rsidP="008D2E9B">
            <w:pPr>
              <w:rPr>
                <w:b/>
                <w:bCs/>
              </w:rPr>
            </w:pPr>
            <w:r w:rsidRPr="00FD551E">
              <w:t>Poskytovatel služby bude zajišťovat stálou podporu pro uživatele systému IS AGIS. Služba se skládá z následujících aktivit Poskytovatele:</w:t>
            </w:r>
            <w:r w:rsidRPr="00FD551E">
              <w:br/>
            </w:r>
          </w:p>
          <w:p w14:paraId="7287209D" w14:textId="77777777" w:rsidR="00684F58" w:rsidRPr="00FD551E" w:rsidRDefault="00F3712C" w:rsidP="00684F58">
            <w:pPr>
              <w:spacing w:after="0" w:line="240" w:lineRule="auto"/>
              <w:ind w:right="74"/>
              <w:rPr>
                <w:rFonts w:cs="Arial"/>
                <w:b/>
                <w:bCs/>
              </w:rPr>
            </w:pPr>
            <w:r w:rsidRPr="00FD551E">
              <w:rPr>
                <w:rFonts w:cs="Arial"/>
                <w:b/>
                <w:bCs/>
              </w:rPr>
              <w:t>Provoz uživatelské podpory z pracoviště Poskytovatele</w:t>
            </w:r>
          </w:p>
          <w:p w14:paraId="5272AF08" w14:textId="70683490" w:rsidR="00AE4D01" w:rsidRPr="00FD551E" w:rsidRDefault="00F3712C" w:rsidP="008D2E9B">
            <w:pPr>
              <w:rPr>
                <w:b/>
                <w:bCs/>
              </w:rPr>
            </w:pPr>
            <w:r w:rsidRPr="00FD551E">
              <w:t>Poskytování uživatelské podpory z pracoviště Poskytovatele je základní formou zajištění stálé servisní podpory. Služba je zajišťována z pracoviště Poskytovatele. Je dostupná trvale denně v pracovní dny od 8:00 do 16:30 hodin. Dostupnost této služby po jejím iniciování je nejvýše 2 hodiny, nebo podle vzájemné dohody podle konkrétně vzniklé potřeby podpory.</w:t>
            </w:r>
            <w:r w:rsidRPr="00FD551E">
              <w:br/>
            </w:r>
          </w:p>
          <w:p w14:paraId="68B56542" w14:textId="77777777" w:rsidR="00684F58" w:rsidRPr="00FD551E" w:rsidRDefault="00F3712C" w:rsidP="00AE4D01">
            <w:pPr>
              <w:spacing w:after="0" w:line="240" w:lineRule="auto"/>
              <w:ind w:right="74"/>
              <w:jc w:val="left"/>
              <w:rPr>
                <w:rFonts w:cs="Arial"/>
                <w:b/>
                <w:bCs/>
              </w:rPr>
            </w:pPr>
            <w:r w:rsidRPr="00FD551E">
              <w:rPr>
                <w:rFonts w:cs="Arial"/>
                <w:b/>
                <w:bCs/>
              </w:rPr>
              <w:t>Poskytování uživatelské podpory na SZIF</w:t>
            </w:r>
          </w:p>
          <w:p w14:paraId="0F2C47A6" w14:textId="501B125B" w:rsidR="00F3712C" w:rsidRPr="00FD551E" w:rsidRDefault="00F3712C" w:rsidP="008D2E9B">
            <w:r w:rsidRPr="00FD551E">
              <w:t>Kromě poskytování podpory z pracoviště Poskytovatele zajišťována služba na pracovišti přímo u Zákazníka (v objektu SZIF, Ve Smečkách 33, 110 00 Praha 1). Zde je ze strany Poskytovatele na žádost Uživatele poskytnuta služba pro uživatelskou podporu IS AGIS. Na tomto pracovišti se dle požadavku Uživatele v pracovní dny od 8:00 do 16:30 hodin nebo v dohodnutou dobu dostaví potřebný specialista Poskytovatele.</w:t>
            </w:r>
          </w:p>
        </w:tc>
      </w:tr>
      <w:tr w:rsidR="00F3712C" w:rsidRPr="00FD551E" w14:paraId="5ABCA40C" w14:textId="77777777" w:rsidTr="00E52143">
        <w:trPr>
          <w:trHeight w:val="988"/>
        </w:trPr>
        <w:tc>
          <w:tcPr>
            <w:tcW w:w="1843" w:type="dxa"/>
            <w:shd w:val="clear" w:color="auto" w:fill="AEEAC1"/>
          </w:tcPr>
          <w:p w14:paraId="1CF7A5AB" w14:textId="77777777" w:rsidR="00F3712C" w:rsidRPr="00FD551E" w:rsidRDefault="00F3712C" w:rsidP="00684F58">
            <w:pPr>
              <w:jc w:val="left"/>
              <w:rPr>
                <w:rFonts w:cs="Arial"/>
                <w:b/>
                <w:bCs/>
              </w:rPr>
            </w:pPr>
            <w:r w:rsidRPr="00FD551E">
              <w:rPr>
                <w:rFonts w:cs="Arial"/>
                <w:b/>
                <w:bCs/>
              </w:rPr>
              <w:t>Obsah služby</w:t>
            </w:r>
          </w:p>
        </w:tc>
        <w:tc>
          <w:tcPr>
            <w:tcW w:w="7441" w:type="dxa"/>
          </w:tcPr>
          <w:p w14:paraId="639B5FF2" w14:textId="77777777" w:rsidR="00F3712C" w:rsidRPr="00FD551E" w:rsidRDefault="00F3712C" w:rsidP="008D2E9B">
            <w:r w:rsidRPr="00FD551E">
              <w:t>Uživatelská podpora obecně jednak zastupuje zájmy Objednatele a zahrnuje řešení, která vedou k uspokojení jeho potřeb a k odstranění vzniklých problémů a jednak zajišťuje operativní podporu uživatelů IS AGIS na úrovni systémové, aplikační a datové. Tato řešení uživatelské podpory sleduje a vyhodnocuje ve spolupráci s příslušným uživatelem Zákazníka pracovník Poskytovatele.</w:t>
            </w:r>
          </w:p>
        </w:tc>
      </w:tr>
      <w:tr w:rsidR="00F3712C" w:rsidRPr="00FD551E" w14:paraId="15A3F04B" w14:textId="77777777" w:rsidTr="00E52143">
        <w:trPr>
          <w:trHeight w:val="1285"/>
        </w:trPr>
        <w:tc>
          <w:tcPr>
            <w:tcW w:w="1843" w:type="dxa"/>
            <w:shd w:val="clear" w:color="auto" w:fill="AEEAC1"/>
          </w:tcPr>
          <w:p w14:paraId="11EE5819" w14:textId="77777777" w:rsidR="00F3712C" w:rsidRPr="00FD551E" w:rsidRDefault="00F3712C" w:rsidP="00684F58">
            <w:pPr>
              <w:jc w:val="left"/>
              <w:rPr>
                <w:rFonts w:cs="Arial"/>
                <w:b/>
                <w:bCs/>
              </w:rPr>
            </w:pPr>
            <w:r w:rsidRPr="00FD551E">
              <w:rPr>
                <w:rFonts w:cs="Arial"/>
                <w:b/>
                <w:bCs/>
              </w:rPr>
              <w:t>Způsob realizace služby</w:t>
            </w:r>
          </w:p>
        </w:tc>
        <w:tc>
          <w:tcPr>
            <w:tcW w:w="7441" w:type="dxa"/>
          </w:tcPr>
          <w:p w14:paraId="31C2ECEC" w14:textId="77777777" w:rsidR="008D2E9B" w:rsidRPr="00FD551E" w:rsidRDefault="00F3712C" w:rsidP="008D2E9B">
            <w:r w:rsidRPr="00FD551E">
              <w:t>Služba je iniciována:</w:t>
            </w:r>
          </w:p>
          <w:p w14:paraId="518E0970" w14:textId="304954E6" w:rsidR="00684F58" w:rsidRPr="00FD551E" w:rsidRDefault="00F3712C" w:rsidP="00AE4D01">
            <w:pPr>
              <w:spacing w:after="0" w:line="240" w:lineRule="auto"/>
              <w:ind w:right="74"/>
              <w:jc w:val="left"/>
              <w:rPr>
                <w:rFonts w:cs="Arial"/>
              </w:rPr>
            </w:pPr>
            <w:r w:rsidRPr="00FD551E">
              <w:rPr>
                <w:rFonts w:cs="Arial"/>
              </w:rPr>
              <w:t>Vždy</w:t>
            </w:r>
          </w:p>
          <w:p w14:paraId="530DA795" w14:textId="52D4140A" w:rsidR="00684F58" w:rsidRPr="00FD551E" w:rsidRDefault="00F3712C" w:rsidP="00684F58">
            <w:pPr>
              <w:pStyle w:val="Odstavecseseznamem"/>
              <w:numPr>
                <w:ilvl w:val="0"/>
                <w:numId w:val="28"/>
              </w:numPr>
              <w:spacing w:after="0" w:line="240" w:lineRule="auto"/>
              <w:ind w:right="74"/>
              <w:jc w:val="left"/>
              <w:rPr>
                <w:rFonts w:cs="Arial"/>
              </w:rPr>
            </w:pPr>
            <w:r w:rsidRPr="00FD551E">
              <w:rPr>
                <w:rFonts w:cs="Arial"/>
              </w:rPr>
              <w:t>systémem HelpDesk</w:t>
            </w:r>
            <w:r w:rsidRPr="00FD551E">
              <w:rPr>
                <w:rFonts w:cs="Arial"/>
              </w:rPr>
              <w:br/>
            </w:r>
          </w:p>
          <w:p w14:paraId="40C5AC9B" w14:textId="77777777" w:rsidR="00684F58" w:rsidRPr="00FD551E" w:rsidRDefault="00F3712C" w:rsidP="00684F58">
            <w:pPr>
              <w:spacing w:after="0" w:line="240" w:lineRule="auto"/>
              <w:ind w:right="74"/>
              <w:jc w:val="left"/>
              <w:rPr>
                <w:rFonts w:cs="Arial"/>
              </w:rPr>
            </w:pPr>
            <w:r w:rsidRPr="00FD551E">
              <w:rPr>
                <w:rFonts w:cs="Arial"/>
              </w:rPr>
              <w:t>Doplňkově s násled</w:t>
            </w:r>
            <w:r w:rsidR="00684F58" w:rsidRPr="00FD551E">
              <w:rPr>
                <w:rFonts w:cs="Arial"/>
              </w:rPr>
              <w:t>nou evidencí v systému HelpDesk</w:t>
            </w:r>
          </w:p>
          <w:p w14:paraId="271E5C8C" w14:textId="77777777" w:rsidR="00684F58" w:rsidRPr="00FD551E" w:rsidRDefault="00684F58" w:rsidP="00CC04F4">
            <w:pPr>
              <w:pStyle w:val="Odstavecseseznamem"/>
              <w:numPr>
                <w:ilvl w:val="0"/>
                <w:numId w:val="28"/>
              </w:numPr>
              <w:spacing w:after="0" w:line="240" w:lineRule="auto"/>
              <w:ind w:right="74"/>
              <w:jc w:val="left"/>
              <w:rPr>
                <w:rFonts w:cs="Arial"/>
              </w:rPr>
            </w:pPr>
            <w:r w:rsidRPr="00FD551E">
              <w:rPr>
                <w:rFonts w:cs="Arial"/>
              </w:rPr>
              <w:t>telefonicky</w:t>
            </w:r>
          </w:p>
          <w:p w14:paraId="20EC9209" w14:textId="77777777" w:rsidR="00684F58" w:rsidRPr="00FD551E" w:rsidRDefault="00F3712C" w:rsidP="00CC04F4">
            <w:pPr>
              <w:pStyle w:val="Odstavecseseznamem"/>
              <w:numPr>
                <w:ilvl w:val="0"/>
                <w:numId w:val="28"/>
              </w:numPr>
              <w:spacing w:after="0" w:line="240" w:lineRule="auto"/>
              <w:ind w:right="74"/>
              <w:jc w:val="left"/>
              <w:rPr>
                <w:rFonts w:cs="Arial"/>
              </w:rPr>
            </w:pPr>
            <w:r w:rsidRPr="00FD551E">
              <w:rPr>
                <w:rFonts w:cs="Arial"/>
              </w:rPr>
              <w:t>elektronickou</w:t>
            </w:r>
            <w:r w:rsidR="00684F58" w:rsidRPr="00FD551E">
              <w:rPr>
                <w:rFonts w:cs="Arial"/>
              </w:rPr>
              <w:t xml:space="preserve"> poštou</w:t>
            </w:r>
          </w:p>
          <w:p w14:paraId="14DDDA6C" w14:textId="29FB18A1" w:rsidR="00684F58" w:rsidRPr="00FD551E" w:rsidRDefault="00F3712C" w:rsidP="00CC04F4">
            <w:pPr>
              <w:pStyle w:val="Odstavecseseznamem"/>
              <w:numPr>
                <w:ilvl w:val="0"/>
                <w:numId w:val="28"/>
              </w:numPr>
              <w:spacing w:after="0" w:line="240" w:lineRule="auto"/>
              <w:ind w:right="74"/>
              <w:jc w:val="left"/>
              <w:rPr>
                <w:rFonts w:cs="Arial"/>
              </w:rPr>
            </w:pPr>
            <w:r w:rsidRPr="00FD551E">
              <w:rPr>
                <w:rFonts w:cs="Arial"/>
              </w:rPr>
              <w:t>osobním kontaktem</w:t>
            </w:r>
            <w:r w:rsidRPr="00FD551E">
              <w:rPr>
                <w:rFonts w:cs="Arial"/>
              </w:rPr>
              <w:br/>
            </w:r>
          </w:p>
          <w:p w14:paraId="7FB67498" w14:textId="10673250" w:rsidR="00F3712C" w:rsidRPr="00FD551E" w:rsidRDefault="00F3712C" w:rsidP="008D2E9B">
            <w:r w:rsidRPr="00FD551E">
              <w:t xml:space="preserve">Po obdržení požadavku od příslušného uživatele aplikace ze strany Objednatele, pracovník pracoviště uživatelské podpory Poskytovatele posoudí vzniklý problém a spolu s uživatelem neprodleně stanoví postup jeho odstranění. Na odstranění problému pracuje buď </w:t>
            </w:r>
            <w:r w:rsidR="00684F58" w:rsidRPr="00FD551E">
              <w:t>sám, nebo</w:t>
            </w:r>
            <w:r w:rsidRPr="00FD551E">
              <w:t xml:space="preserve"> podle potřeby kontaktuje příslušného specialistu Poskytovatele.</w:t>
            </w:r>
          </w:p>
        </w:tc>
      </w:tr>
      <w:tr w:rsidR="00F3712C" w:rsidRPr="00FD551E" w14:paraId="42B191E4" w14:textId="77777777" w:rsidTr="00E52143">
        <w:trPr>
          <w:trHeight w:val="1605"/>
        </w:trPr>
        <w:tc>
          <w:tcPr>
            <w:tcW w:w="1843" w:type="dxa"/>
            <w:shd w:val="clear" w:color="auto" w:fill="AEEAC1"/>
          </w:tcPr>
          <w:p w14:paraId="4D463780" w14:textId="2EAB29EE" w:rsidR="00F3712C" w:rsidRPr="00FD551E" w:rsidRDefault="00F3712C" w:rsidP="00684F58">
            <w:pPr>
              <w:jc w:val="left"/>
              <w:rPr>
                <w:rFonts w:cs="Arial"/>
                <w:b/>
                <w:bCs/>
              </w:rPr>
            </w:pPr>
            <w:r w:rsidRPr="00FD551E">
              <w:rPr>
                <w:rFonts w:cs="Arial"/>
                <w:b/>
                <w:bCs/>
              </w:rPr>
              <w:t xml:space="preserve">Administrativní zajištění služby </w:t>
            </w:r>
          </w:p>
        </w:tc>
        <w:tc>
          <w:tcPr>
            <w:tcW w:w="7441" w:type="dxa"/>
          </w:tcPr>
          <w:p w14:paraId="19CC0391" w14:textId="5D39C1C5" w:rsidR="00F3712C" w:rsidRPr="00FD551E" w:rsidRDefault="00F3712C" w:rsidP="008D2E9B">
            <w:r w:rsidRPr="00FD551E">
              <w:t>Administraci služby zajišťuje Poskytovatel. Administrátorem služby je pracovník Poskytovatele – dispečer systému HelpDesk. K zajištění služby uživatelské podpory slouží systém HelpDesk a report</w:t>
            </w:r>
            <w:r w:rsidR="00684F58" w:rsidRPr="00FD551E">
              <w:t>: Výkaz servisních služeb,</w:t>
            </w:r>
            <w:r w:rsidRPr="00FD551E">
              <w:t xml:space="preserve"> Harmonogram poskytovaných služeb a dokumentace k předmětu podpory. Dále je v administraci služby sledována záruka kvality a jakosti služby (metriky). Administrátor služby předává Objednateli pravidelný měsíční report, obsahující popis a způsob čerpání služeb definovaných v katalogovém listu.</w:t>
            </w:r>
          </w:p>
        </w:tc>
      </w:tr>
      <w:tr w:rsidR="00A04E31" w:rsidRPr="00FD551E" w14:paraId="4B20D4C0" w14:textId="77777777" w:rsidTr="00E52143">
        <w:trPr>
          <w:trHeight w:val="788"/>
        </w:trPr>
        <w:tc>
          <w:tcPr>
            <w:tcW w:w="1843" w:type="dxa"/>
            <w:shd w:val="clear" w:color="auto" w:fill="AEEAC1"/>
          </w:tcPr>
          <w:p w14:paraId="56507837" w14:textId="458EA131" w:rsidR="00A04E31" w:rsidRPr="00FD551E" w:rsidRDefault="00A04E31" w:rsidP="00684F58">
            <w:pPr>
              <w:jc w:val="left"/>
              <w:rPr>
                <w:rFonts w:cs="Arial"/>
                <w:b/>
                <w:bCs/>
              </w:rPr>
            </w:pPr>
            <w:r>
              <w:rPr>
                <w:rFonts w:cs="Arial"/>
                <w:b/>
                <w:bCs/>
              </w:rPr>
              <w:t>Vyhodnocovací období</w:t>
            </w:r>
          </w:p>
        </w:tc>
        <w:tc>
          <w:tcPr>
            <w:tcW w:w="7441" w:type="dxa"/>
          </w:tcPr>
          <w:p w14:paraId="6820BDDE" w14:textId="0BCAADAB" w:rsidR="00A04E31" w:rsidRPr="00FD551E" w:rsidRDefault="00A04E31" w:rsidP="008D2E9B">
            <w:r>
              <w:t>1 kalendářní měsíc</w:t>
            </w:r>
          </w:p>
        </w:tc>
      </w:tr>
      <w:tr w:rsidR="00F3712C" w:rsidRPr="00FD551E" w14:paraId="177D8FD6" w14:textId="77777777" w:rsidTr="00E52143">
        <w:trPr>
          <w:trHeight w:val="1014"/>
        </w:trPr>
        <w:tc>
          <w:tcPr>
            <w:tcW w:w="1843" w:type="dxa"/>
            <w:shd w:val="clear" w:color="auto" w:fill="AEEAC1"/>
          </w:tcPr>
          <w:p w14:paraId="3136A4DB" w14:textId="77777777" w:rsidR="00F3712C" w:rsidRPr="00FD551E" w:rsidRDefault="00F3712C" w:rsidP="00684F58">
            <w:pPr>
              <w:jc w:val="left"/>
              <w:rPr>
                <w:rFonts w:cs="Arial"/>
                <w:b/>
                <w:bCs/>
              </w:rPr>
            </w:pPr>
            <w:r w:rsidRPr="00FD551E">
              <w:rPr>
                <w:rFonts w:cs="Arial"/>
                <w:b/>
                <w:bCs/>
              </w:rPr>
              <w:t>Metriky</w:t>
            </w:r>
          </w:p>
        </w:tc>
        <w:tc>
          <w:tcPr>
            <w:tcW w:w="7441" w:type="dxa"/>
          </w:tcPr>
          <w:p w14:paraId="185F34E9" w14:textId="77777777" w:rsidR="00F3712C" w:rsidRPr="00FD551E" w:rsidRDefault="00F3712C" w:rsidP="008D2E9B">
            <w:r w:rsidRPr="00FD551E">
              <w:t>Rychlost odezvy na incidenty, průměrná doba řešení incidentů, rychlost odezvy na požadavky, průměrná doba řešení požadavků, množství incidentů celkem, % neakceptovaných řešení požadavků ze strany uživatelů, spokojenost uživatelů (dotazník)</w:t>
            </w:r>
          </w:p>
        </w:tc>
      </w:tr>
      <w:tr w:rsidR="00F3712C" w:rsidRPr="00FD551E" w14:paraId="457FF79C" w14:textId="77777777" w:rsidTr="00E52143">
        <w:trPr>
          <w:trHeight w:val="1014"/>
        </w:trPr>
        <w:tc>
          <w:tcPr>
            <w:tcW w:w="1843" w:type="dxa"/>
            <w:shd w:val="clear" w:color="auto" w:fill="AEEAC1"/>
          </w:tcPr>
          <w:p w14:paraId="4703B944" w14:textId="77777777" w:rsidR="00F3712C" w:rsidRPr="00FD551E" w:rsidRDefault="00F3712C" w:rsidP="00684F58">
            <w:pPr>
              <w:jc w:val="left"/>
              <w:rPr>
                <w:rFonts w:cs="Arial"/>
                <w:b/>
                <w:bCs/>
              </w:rPr>
            </w:pPr>
            <w:r w:rsidRPr="00FD551E">
              <w:rPr>
                <w:rFonts w:cs="Arial"/>
                <w:b/>
                <w:bCs/>
              </w:rPr>
              <w:t>Minimální hodnoty</w:t>
            </w:r>
          </w:p>
        </w:tc>
        <w:tc>
          <w:tcPr>
            <w:tcW w:w="7441" w:type="dxa"/>
          </w:tcPr>
          <w:p w14:paraId="3FD946AD" w14:textId="77777777" w:rsidR="00684F58" w:rsidRPr="00FD551E" w:rsidRDefault="00F3712C" w:rsidP="00A23437">
            <w:r w:rsidRPr="00FD551E">
              <w:t xml:space="preserve">Rychlost odezvy na incidenty: </w:t>
            </w:r>
          </w:p>
          <w:p w14:paraId="74E74C34" w14:textId="0D7937FD" w:rsidR="00F3712C" w:rsidRPr="00FD551E" w:rsidRDefault="00F3712C" w:rsidP="00A23437">
            <w:r w:rsidRPr="00FD551E">
              <w:rPr>
                <w:b/>
              </w:rPr>
              <w:t>120 minut</w:t>
            </w:r>
            <w:r w:rsidRPr="00FD551E">
              <w:t xml:space="preserve"> v době poskytování služby (tj. v pracovní dny v době 8:00 – 16:30)</w:t>
            </w:r>
          </w:p>
          <w:p w14:paraId="4A935162" w14:textId="77777777" w:rsidR="005663A8" w:rsidRDefault="005663A8" w:rsidP="00AE4D01">
            <w:pPr>
              <w:spacing w:after="0" w:line="240" w:lineRule="auto"/>
              <w:ind w:right="74"/>
              <w:jc w:val="left"/>
              <w:rPr>
                <w:rFonts w:cs="Arial"/>
              </w:rPr>
            </w:pPr>
          </w:p>
          <w:p w14:paraId="26B9C4CE" w14:textId="6DCF739D" w:rsidR="00684F58" w:rsidRPr="00FD551E" w:rsidRDefault="00890617" w:rsidP="00AE4D01">
            <w:pPr>
              <w:spacing w:after="0" w:line="240" w:lineRule="auto"/>
              <w:ind w:right="74"/>
              <w:jc w:val="left"/>
              <w:rPr>
                <w:rFonts w:cs="Arial"/>
              </w:rPr>
            </w:pPr>
            <w:r w:rsidRPr="00FD551E">
              <w:rPr>
                <w:rFonts w:cs="Arial"/>
              </w:rPr>
              <w:t>%</w:t>
            </w:r>
            <w:r w:rsidR="00F3712C" w:rsidRPr="00FD551E">
              <w:rPr>
                <w:rFonts w:cs="Arial"/>
              </w:rPr>
              <w:t xml:space="preserve"> </w:t>
            </w:r>
            <w:r w:rsidR="005663A8">
              <w:rPr>
                <w:rFonts w:cs="Arial"/>
              </w:rPr>
              <w:t>vyřešených incidentů, jejichž řešení nebylo akceptováno Objednatelem</w:t>
            </w:r>
            <w:r w:rsidR="00F3712C" w:rsidRPr="00FD551E">
              <w:rPr>
                <w:rFonts w:cs="Arial"/>
              </w:rPr>
              <w:t xml:space="preserve">: </w:t>
            </w:r>
          </w:p>
          <w:p w14:paraId="6863534F" w14:textId="3141440F" w:rsidR="00F3712C" w:rsidRPr="00FD551E" w:rsidRDefault="00F3712C" w:rsidP="00A23437">
            <w:r w:rsidRPr="005663A8">
              <w:rPr>
                <w:b/>
              </w:rPr>
              <w:t xml:space="preserve">Maximální hodnota </w:t>
            </w:r>
            <w:proofErr w:type="gramStart"/>
            <w:r w:rsidRPr="005663A8">
              <w:rPr>
                <w:b/>
              </w:rPr>
              <w:t>5%</w:t>
            </w:r>
            <w:proofErr w:type="gramEnd"/>
            <w:r w:rsidRPr="005663A8">
              <w:rPr>
                <w:b/>
              </w:rPr>
              <w:t xml:space="preserve"> v kalendářním měsíci</w:t>
            </w:r>
            <w:r w:rsidRPr="00FD551E">
              <w:t xml:space="preserve"> (</w:t>
            </w:r>
            <w:r w:rsidR="005663A8">
              <w:t>počítáno z</w:t>
            </w:r>
            <w:r w:rsidR="00A04E31">
              <w:t xml:space="preserve"> počtu incidentů řešených v daném vyhodnocovacím období, </w:t>
            </w:r>
            <w:r w:rsidRPr="00FD551E">
              <w:t xml:space="preserve">v případě incidentů s přesahem do více kalendářních měsíců jsou tyto počítány do měsíce, kdy byl incident poprvé označen ze strany poskytovatele jako vyřešený/uzavřený) </w:t>
            </w:r>
          </w:p>
        </w:tc>
      </w:tr>
      <w:tr w:rsidR="00F3712C" w:rsidRPr="00FD551E" w14:paraId="34645815" w14:textId="77777777" w:rsidTr="00E52143">
        <w:trPr>
          <w:trHeight w:val="694"/>
        </w:trPr>
        <w:tc>
          <w:tcPr>
            <w:tcW w:w="1843" w:type="dxa"/>
            <w:shd w:val="clear" w:color="auto" w:fill="AEEAC1"/>
          </w:tcPr>
          <w:p w14:paraId="594AE374" w14:textId="77777777" w:rsidR="00F3712C" w:rsidRPr="00FD551E" w:rsidRDefault="00F3712C" w:rsidP="00684F58">
            <w:pPr>
              <w:jc w:val="left"/>
              <w:rPr>
                <w:rFonts w:cs="Arial"/>
                <w:b/>
                <w:bCs/>
              </w:rPr>
            </w:pPr>
            <w:r w:rsidRPr="00FD551E">
              <w:rPr>
                <w:rFonts w:cs="Arial"/>
                <w:b/>
                <w:bCs/>
              </w:rPr>
              <w:t>Dostupnost služby</w:t>
            </w:r>
          </w:p>
        </w:tc>
        <w:tc>
          <w:tcPr>
            <w:tcW w:w="7441" w:type="dxa"/>
          </w:tcPr>
          <w:p w14:paraId="2904B36E" w14:textId="390ED726" w:rsidR="00F3712C" w:rsidRPr="00FD551E" w:rsidRDefault="005663A8" w:rsidP="005663A8">
            <w:r>
              <w:t>V</w:t>
            </w:r>
            <w:r w:rsidR="00F3712C" w:rsidRPr="00FD551E">
              <w:t> pracovní dny od 8:00 do 16:30 hodin</w:t>
            </w:r>
          </w:p>
        </w:tc>
      </w:tr>
      <w:tr w:rsidR="00F3712C" w:rsidRPr="00FD551E" w14:paraId="0DD276D5" w14:textId="77777777" w:rsidTr="00E52143">
        <w:trPr>
          <w:trHeight w:val="550"/>
        </w:trPr>
        <w:tc>
          <w:tcPr>
            <w:tcW w:w="1843" w:type="dxa"/>
            <w:shd w:val="clear" w:color="auto" w:fill="AEEAC1"/>
          </w:tcPr>
          <w:p w14:paraId="0893DE4C" w14:textId="77777777" w:rsidR="00F3712C" w:rsidRPr="00FD551E" w:rsidRDefault="00F3712C" w:rsidP="00684F58">
            <w:pPr>
              <w:jc w:val="left"/>
              <w:rPr>
                <w:rFonts w:cs="Arial"/>
                <w:b/>
                <w:bCs/>
              </w:rPr>
            </w:pPr>
            <w:r w:rsidRPr="00FD551E">
              <w:rPr>
                <w:rFonts w:cs="Arial"/>
                <w:b/>
                <w:bCs/>
              </w:rPr>
              <w:t>Rozsah poskytované služby</w:t>
            </w:r>
          </w:p>
        </w:tc>
        <w:tc>
          <w:tcPr>
            <w:tcW w:w="7441" w:type="dxa"/>
          </w:tcPr>
          <w:p w14:paraId="2BC3B3B8" w14:textId="22389AC5" w:rsidR="005663A8" w:rsidRPr="00FD551E" w:rsidRDefault="005663A8" w:rsidP="005663A8">
            <w:r w:rsidRPr="00FD551E">
              <w:t>V rámci Služby Poskytovatel zabezpečí a poskytne službu Dispečera systému HelpDesk pro IS AGIS, v pracovní dny od 8:00 do 16:30 hodin, a to nejméně jedním k dané činnosti odborně vyškoleným pracovníkem Poskytovatele.</w:t>
            </w:r>
          </w:p>
        </w:tc>
      </w:tr>
      <w:tr w:rsidR="00F3712C" w:rsidRPr="00FD551E" w14:paraId="42B10AD3" w14:textId="77777777" w:rsidTr="00E52143">
        <w:trPr>
          <w:trHeight w:val="409"/>
        </w:trPr>
        <w:tc>
          <w:tcPr>
            <w:tcW w:w="1843" w:type="dxa"/>
            <w:shd w:val="clear" w:color="auto" w:fill="AEEAC1"/>
          </w:tcPr>
          <w:p w14:paraId="61737F11" w14:textId="77777777" w:rsidR="00F3712C" w:rsidRPr="00FD551E" w:rsidRDefault="00F3712C" w:rsidP="00684F58">
            <w:pPr>
              <w:jc w:val="left"/>
              <w:rPr>
                <w:rFonts w:cs="Arial"/>
                <w:b/>
                <w:bCs/>
              </w:rPr>
            </w:pPr>
            <w:r w:rsidRPr="00FD551E">
              <w:rPr>
                <w:rFonts w:cs="Arial"/>
                <w:b/>
                <w:bCs/>
              </w:rPr>
              <w:t>Reporting služby</w:t>
            </w:r>
          </w:p>
        </w:tc>
        <w:tc>
          <w:tcPr>
            <w:tcW w:w="7441" w:type="dxa"/>
          </w:tcPr>
          <w:p w14:paraId="07DB4260" w14:textId="53534CB7" w:rsidR="00F3712C" w:rsidRDefault="007C0054" w:rsidP="00A23437">
            <w:r>
              <w:t>Protokol o poskytnuté službě</w:t>
            </w:r>
          </w:p>
          <w:p w14:paraId="26DE8C17" w14:textId="4E4A9B85" w:rsidR="000D2F35" w:rsidRPr="005663A8" w:rsidRDefault="000D2F35" w:rsidP="000D2F35">
            <w:pPr>
              <w:rPr>
                <w:lang w:val="en-US"/>
              </w:rPr>
            </w:pPr>
            <w:r>
              <w:t xml:space="preserve">V rámci </w:t>
            </w:r>
            <w:r w:rsidR="007C0054">
              <w:t>Protokolu o poskytnuté službě</w:t>
            </w:r>
            <w:r>
              <w:t xml:space="preserve"> budou přiloženy následující</w:t>
            </w:r>
            <w:r w:rsidRPr="00FD551E">
              <w:t xml:space="preserve"> report</w:t>
            </w:r>
            <w:r>
              <w:t>y</w:t>
            </w:r>
            <w:r w:rsidRPr="00FD551E">
              <w:t>: Výkaz servisních služeb, Harmonogram poskytovaných služeb a dokumentace k předmětu podpory. Dále je v </w:t>
            </w:r>
            <w:r>
              <w:t>reportingu</w:t>
            </w:r>
            <w:r w:rsidRPr="00FD551E">
              <w:t xml:space="preserve"> služby sledována záruka kvality a jakosti služby (metriky). Administrátor služby předává Objednateli pravidelný měsíční report, obsahující popis a způsob čerpání služeb definovaných v katalogovém listu.</w:t>
            </w:r>
          </w:p>
        </w:tc>
      </w:tr>
      <w:tr w:rsidR="00F3712C" w:rsidRPr="00FD551E" w14:paraId="77654517" w14:textId="77777777" w:rsidTr="00E52143">
        <w:trPr>
          <w:trHeight w:val="315"/>
        </w:trPr>
        <w:tc>
          <w:tcPr>
            <w:tcW w:w="1843" w:type="dxa"/>
            <w:shd w:val="clear" w:color="auto" w:fill="AEEAC1"/>
          </w:tcPr>
          <w:p w14:paraId="1CF90A89" w14:textId="77777777" w:rsidR="00F3712C" w:rsidRPr="00FD551E" w:rsidRDefault="00F3712C" w:rsidP="00684F58">
            <w:pPr>
              <w:jc w:val="left"/>
              <w:rPr>
                <w:rFonts w:cs="Arial"/>
                <w:b/>
                <w:bCs/>
              </w:rPr>
            </w:pPr>
            <w:r w:rsidRPr="00FD551E">
              <w:rPr>
                <w:rFonts w:cs="Arial"/>
                <w:b/>
                <w:bCs/>
              </w:rPr>
              <w:t>Smluvní pokuta</w:t>
            </w:r>
          </w:p>
        </w:tc>
        <w:tc>
          <w:tcPr>
            <w:tcW w:w="7441" w:type="dxa"/>
          </w:tcPr>
          <w:p w14:paraId="6639B72D" w14:textId="77777777" w:rsidR="00A04E31" w:rsidRDefault="00F3712C" w:rsidP="00A23437">
            <w:r w:rsidRPr="00FD551E">
              <w:t>Výše smluvní pokuty je</w:t>
            </w:r>
            <w:r w:rsidR="00A04E31">
              <w:t>:</w:t>
            </w:r>
          </w:p>
          <w:p w14:paraId="20571109" w14:textId="77777777" w:rsidR="00A04E31" w:rsidRDefault="00A04E31" w:rsidP="00A23437">
            <w:proofErr w:type="gramStart"/>
            <w:r w:rsidRPr="00A04E31">
              <w:rPr>
                <w:b/>
              </w:rPr>
              <w:t>3%</w:t>
            </w:r>
            <w:proofErr w:type="gramEnd"/>
            <w:r w:rsidRPr="00A04E31">
              <w:rPr>
                <w:b/>
              </w:rPr>
              <w:t xml:space="preserve"> z paušální ceny</w:t>
            </w:r>
            <w:r>
              <w:t xml:space="preserve"> za vyhodnocovací období za každý incident, u něhož nebyla dodržena rychlost odezvy</w:t>
            </w:r>
          </w:p>
          <w:p w14:paraId="1915E0FF" w14:textId="4815FB5C" w:rsidR="00F3712C" w:rsidRPr="00FD551E" w:rsidRDefault="00331CC1" w:rsidP="00A23437">
            <w:proofErr w:type="gramStart"/>
            <w:r>
              <w:rPr>
                <w:b/>
              </w:rPr>
              <w:t>3</w:t>
            </w:r>
            <w:r w:rsidR="00A04E31" w:rsidRPr="00A04E31">
              <w:rPr>
                <w:b/>
              </w:rPr>
              <w:t>%</w:t>
            </w:r>
            <w:proofErr w:type="gramEnd"/>
            <w:r w:rsidR="00A04E31" w:rsidRPr="00A04E31">
              <w:rPr>
                <w:b/>
              </w:rPr>
              <w:t xml:space="preserve"> z paušální ceny</w:t>
            </w:r>
            <w:r w:rsidR="00A04E31">
              <w:rPr>
                <w:b/>
              </w:rPr>
              <w:t xml:space="preserve"> </w:t>
            </w:r>
            <w:r w:rsidR="00A04E31">
              <w:t xml:space="preserve">za vyhodnocovací období za každé 1% nad maximální hodnotu 5% neakceptovaných incidentů  </w:t>
            </w:r>
          </w:p>
        </w:tc>
      </w:tr>
    </w:tbl>
    <w:tbl>
      <w:tblPr>
        <w:tblStyle w:val="Mkatabulky"/>
        <w:tblW w:w="9313" w:type="dxa"/>
        <w:tblInd w:w="9" w:type="dxa"/>
        <w:tblLayout w:type="fixed"/>
        <w:tblLook w:val="04A0" w:firstRow="1" w:lastRow="0" w:firstColumn="1" w:lastColumn="0" w:noHBand="0" w:noVBand="1"/>
      </w:tblPr>
      <w:tblGrid>
        <w:gridCol w:w="2497"/>
        <w:gridCol w:w="2253"/>
        <w:gridCol w:w="2133"/>
        <w:gridCol w:w="2430"/>
      </w:tblGrid>
      <w:tr w:rsidR="00890617" w:rsidRPr="00FD551E" w14:paraId="62A59156" w14:textId="77777777" w:rsidTr="00E52143">
        <w:trPr>
          <w:cantSplit/>
          <w:trHeight w:val="408"/>
        </w:trPr>
        <w:tc>
          <w:tcPr>
            <w:tcW w:w="9313" w:type="dxa"/>
            <w:gridSpan w:val="4"/>
            <w:tcBorders>
              <w:bottom w:val="single" w:sz="4" w:space="0" w:color="auto"/>
            </w:tcBorders>
            <w:shd w:val="clear" w:color="auto" w:fill="006600"/>
            <w:vAlign w:val="center"/>
          </w:tcPr>
          <w:p w14:paraId="7D488865" w14:textId="473552D9" w:rsidR="00890617" w:rsidRPr="00FD551E" w:rsidRDefault="00890617" w:rsidP="00CC04F4">
            <w:pPr>
              <w:spacing w:before="0" w:after="0"/>
              <w:jc w:val="left"/>
            </w:pPr>
            <w:r w:rsidRPr="00FD551E">
              <w:t>Cena služby</w:t>
            </w:r>
          </w:p>
        </w:tc>
      </w:tr>
      <w:tr w:rsidR="00890617" w:rsidRPr="00FD551E" w14:paraId="283F0855" w14:textId="77777777" w:rsidTr="00E52143">
        <w:trPr>
          <w:cantSplit/>
          <w:trHeight w:val="410"/>
        </w:trPr>
        <w:tc>
          <w:tcPr>
            <w:tcW w:w="2497" w:type="dxa"/>
            <w:tcBorders>
              <w:bottom w:val="single" w:sz="4" w:space="0" w:color="auto"/>
            </w:tcBorders>
            <w:shd w:val="clear" w:color="auto" w:fill="AEEAC1"/>
            <w:vAlign w:val="center"/>
          </w:tcPr>
          <w:p w14:paraId="04C579D2" w14:textId="77777777" w:rsidR="00890617" w:rsidRPr="00FD551E" w:rsidRDefault="00890617" w:rsidP="00CC04F4">
            <w:pPr>
              <w:spacing w:before="0" w:after="0"/>
              <w:jc w:val="left"/>
            </w:pPr>
            <w:r w:rsidRPr="00FD551E">
              <w:t>Položka</w:t>
            </w:r>
          </w:p>
        </w:tc>
        <w:tc>
          <w:tcPr>
            <w:tcW w:w="2253" w:type="dxa"/>
            <w:tcBorders>
              <w:bottom w:val="single" w:sz="4" w:space="0" w:color="auto"/>
            </w:tcBorders>
            <w:shd w:val="clear" w:color="auto" w:fill="AEEAC1"/>
            <w:vAlign w:val="center"/>
          </w:tcPr>
          <w:p w14:paraId="26DF1E25" w14:textId="77777777" w:rsidR="00890617" w:rsidRPr="00FD551E" w:rsidRDefault="00890617" w:rsidP="00DD458A">
            <w:pPr>
              <w:spacing w:before="0" w:after="0"/>
              <w:jc w:val="center"/>
            </w:pPr>
            <w:r w:rsidRPr="00FD551E">
              <w:t>Cena v Kč bez DPH</w:t>
            </w:r>
          </w:p>
        </w:tc>
        <w:tc>
          <w:tcPr>
            <w:tcW w:w="2133" w:type="dxa"/>
            <w:tcBorders>
              <w:bottom w:val="single" w:sz="4" w:space="0" w:color="auto"/>
            </w:tcBorders>
            <w:shd w:val="clear" w:color="auto" w:fill="AEEAC1"/>
            <w:vAlign w:val="center"/>
          </w:tcPr>
          <w:p w14:paraId="58943566" w14:textId="77777777" w:rsidR="00890617" w:rsidRPr="00FD551E" w:rsidRDefault="00890617" w:rsidP="00DD458A">
            <w:pPr>
              <w:spacing w:before="0" w:after="0"/>
              <w:jc w:val="center"/>
            </w:pPr>
            <w:r w:rsidRPr="00FD551E">
              <w:t xml:space="preserve">DPH </w:t>
            </w:r>
            <w:proofErr w:type="gramStart"/>
            <w:r w:rsidRPr="00FD551E">
              <w:t>21%</w:t>
            </w:r>
            <w:proofErr w:type="gramEnd"/>
          </w:p>
        </w:tc>
        <w:tc>
          <w:tcPr>
            <w:tcW w:w="2430" w:type="dxa"/>
            <w:tcBorders>
              <w:bottom w:val="single" w:sz="4" w:space="0" w:color="auto"/>
            </w:tcBorders>
            <w:shd w:val="clear" w:color="auto" w:fill="AEEAC1"/>
            <w:vAlign w:val="center"/>
          </w:tcPr>
          <w:p w14:paraId="48D18097" w14:textId="77777777" w:rsidR="00890617" w:rsidRPr="00FD551E" w:rsidRDefault="00890617" w:rsidP="00DD458A">
            <w:pPr>
              <w:spacing w:before="0" w:after="0"/>
              <w:jc w:val="center"/>
            </w:pPr>
            <w:r w:rsidRPr="00FD551E">
              <w:t>Cena v Kč s DPH</w:t>
            </w:r>
          </w:p>
        </w:tc>
      </w:tr>
      <w:tr w:rsidR="00890617" w:rsidRPr="00FD551E" w14:paraId="6F7454C3" w14:textId="77777777" w:rsidTr="00E52143">
        <w:trPr>
          <w:cantSplit/>
          <w:trHeight w:val="666"/>
        </w:trPr>
        <w:tc>
          <w:tcPr>
            <w:tcW w:w="2497" w:type="dxa"/>
            <w:tcBorders>
              <w:bottom w:val="single" w:sz="4" w:space="0" w:color="auto"/>
            </w:tcBorders>
            <w:shd w:val="clear" w:color="auto" w:fill="auto"/>
            <w:vAlign w:val="center"/>
          </w:tcPr>
          <w:p w14:paraId="152F78CD" w14:textId="454C1B17" w:rsidR="00890617" w:rsidRPr="00FD551E" w:rsidRDefault="00890617" w:rsidP="00A04E31">
            <w:pPr>
              <w:spacing w:before="0" w:after="0"/>
              <w:jc w:val="left"/>
            </w:pPr>
            <w:r w:rsidRPr="00FD551E">
              <w:t>Paušální cena za vyhodnocovací období</w:t>
            </w:r>
          </w:p>
        </w:tc>
        <w:tc>
          <w:tcPr>
            <w:tcW w:w="2253" w:type="dxa"/>
            <w:tcBorders>
              <w:bottom w:val="single" w:sz="4" w:space="0" w:color="auto"/>
            </w:tcBorders>
            <w:shd w:val="clear" w:color="auto" w:fill="auto"/>
            <w:vAlign w:val="center"/>
          </w:tcPr>
          <w:p w14:paraId="593A14BB" w14:textId="7646EC3E" w:rsidR="00890617" w:rsidRPr="00FD551E" w:rsidRDefault="00E52143" w:rsidP="00DD458A">
            <w:pPr>
              <w:spacing w:before="0" w:after="0"/>
              <w:jc w:val="center"/>
              <w:rPr>
                <w:highlight w:val="yellow"/>
              </w:rP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c>
          <w:tcPr>
            <w:tcW w:w="2133" w:type="dxa"/>
            <w:tcBorders>
              <w:bottom w:val="single" w:sz="4" w:space="0" w:color="auto"/>
            </w:tcBorders>
            <w:shd w:val="clear" w:color="auto" w:fill="auto"/>
            <w:vAlign w:val="center"/>
          </w:tcPr>
          <w:p w14:paraId="243A35FB" w14:textId="19E1EE60" w:rsidR="00890617" w:rsidRPr="00FD551E" w:rsidRDefault="00E52143" w:rsidP="00DD458A">
            <w:pPr>
              <w:spacing w:before="0" w:after="0"/>
              <w:jc w:val="center"/>
              <w:rPr>
                <w:highlight w:val="yellow"/>
              </w:rP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c>
          <w:tcPr>
            <w:tcW w:w="2430" w:type="dxa"/>
            <w:tcBorders>
              <w:bottom w:val="single" w:sz="4" w:space="0" w:color="auto"/>
            </w:tcBorders>
            <w:shd w:val="clear" w:color="auto" w:fill="auto"/>
            <w:vAlign w:val="center"/>
          </w:tcPr>
          <w:p w14:paraId="6835B52C" w14:textId="0B82A96D" w:rsidR="00890617" w:rsidRPr="00FD551E" w:rsidRDefault="00E52143" w:rsidP="00DD458A">
            <w:pPr>
              <w:spacing w:before="0" w:after="0"/>
              <w:jc w:val="center"/>
              <w:rPr>
                <w:highlight w:val="yellow"/>
              </w:rP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r>
    </w:tbl>
    <w:p w14:paraId="377EEF51" w14:textId="0E7038FB" w:rsidR="0059580B" w:rsidRPr="00FD551E" w:rsidRDefault="0059580B" w:rsidP="0059580B">
      <w:pPr>
        <w:pStyle w:val="Nadpis2"/>
        <w:pageBreakBefore/>
      </w:pPr>
      <w:bookmarkStart w:id="7" w:name="_Toc14796093"/>
      <w:r w:rsidRPr="00FD551E">
        <w:t>Služba č. 02 – Administrace systémového landscape</w:t>
      </w:r>
      <w:bookmarkEnd w:id="7"/>
      <w:r w:rsidRPr="00FD551E">
        <w:t xml:space="preserve"> </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3"/>
        <w:gridCol w:w="7221"/>
      </w:tblGrid>
      <w:tr w:rsidR="0059580B" w:rsidRPr="00FD551E" w14:paraId="39923845" w14:textId="77777777" w:rsidTr="00CC04F4">
        <w:trPr>
          <w:trHeight w:val="315"/>
          <w:tblHeader/>
        </w:trPr>
        <w:tc>
          <w:tcPr>
            <w:tcW w:w="1843" w:type="dxa"/>
            <w:shd w:val="clear" w:color="auto" w:fill="006600"/>
            <w:noWrap/>
            <w:vAlign w:val="center"/>
          </w:tcPr>
          <w:p w14:paraId="1BAFD9DC" w14:textId="77777777" w:rsidR="0059580B" w:rsidRPr="00FD551E" w:rsidRDefault="0059580B" w:rsidP="00CC04F4">
            <w:pPr>
              <w:rPr>
                <w:rFonts w:cs="Arial"/>
                <w:b/>
              </w:rPr>
            </w:pPr>
            <w:r w:rsidRPr="00FD551E">
              <w:rPr>
                <w:rFonts w:cs="Arial"/>
                <w:b/>
              </w:rPr>
              <w:t>Název služby</w:t>
            </w:r>
          </w:p>
        </w:tc>
        <w:tc>
          <w:tcPr>
            <w:tcW w:w="7221" w:type="dxa"/>
            <w:shd w:val="clear" w:color="auto" w:fill="006600"/>
            <w:vAlign w:val="center"/>
          </w:tcPr>
          <w:p w14:paraId="444581D2" w14:textId="3DF88883" w:rsidR="0059580B" w:rsidRPr="00FD551E" w:rsidRDefault="000A3615" w:rsidP="00CC04F4">
            <w:pPr>
              <w:rPr>
                <w:rFonts w:cs="Arial"/>
                <w:b/>
              </w:rPr>
            </w:pPr>
            <w:r w:rsidRPr="00FD551E">
              <w:rPr>
                <w:rFonts w:cs="Arial"/>
                <w:b/>
              </w:rPr>
              <w:t>Administrace systémového landscape</w:t>
            </w:r>
          </w:p>
        </w:tc>
      </w:tr>
      <w:tr w:rsidR="0059580B" w:rsidRPr="00FD551E" w14:paraId="216B27FC" w14:textId="77777777" w:rsidTr="00CC04F4">
        <w:trPr>
          <w:trHeight w:val="408"/>
          <w:tblHeader/>
        </w:trPr>
        <w:tc>
          <w:tcPr>
            <w:tcW w:w="1843" w:type="dxa"/>
            <w:tcBorders>
              <w:bottom w:val="single" w:sz="6" w:space="0" w:color="auto"/>
            </w:tcBorders>
            <w:shd w:val="clear" w:color="auto" w:fill="AEEAC1"/>
          </w:tcPr>
          <w:p w14:paraId="398586E2" w14:textId="77777777" w:rsidR="0059580B" w:rsidRPr="00FD551E" w:rsidRDefault="0059580B" w:rsidP="00CC04F4">
            <w:pPr>
              <w:rPr>
                <w:rFonts w:cs="Arial"/>
                <w:b/>
                <w:bCs/>
              </w:rPr>
            </w:pPr>
            <w:r w:rsidRPr="00FD551E">
              <w:rPr>
                <w:rFonts w:cs="Arial"/>
                <w:b/>
                <w:bCs/>
              </w:rPr>
              <w:t>Skupina služeb</w:t>
            </w:r>
          </w:p>
        </w:tc>
        <w:tc>
          <w:tcPr>
            <w:tcW w:w="7221" w:type="dxa"/>
            <w:shd w:val="clear" w:color="auto" w:fill="AEEAC1"/>
          </w:tcPr>
          <w:p w14:paraId="52946172" w14:textId="77777777" w:rsidR="0059580B" w:rsidRPr="00FD551E" w:rsidRDefault="0059580B" w:rsidP="00CC04F4">
            <w:pPr>
              <w:tabs>
                <w:tab w:val="left" w:pos="8102"/>
              </w:tabs>
              <w:rPr>
                <w:rFonts w:cs="Arial"/>
              </w:rPr>
            </w:pPr>
            <w:r w:rsidRPr="00FD551E">
              <w:rPr>
                <w:rFonts w:cs="Arial"/>
              </w:rPr>
              <w:t>Podpora provozu IS AGIS</w:t>
            </w:r>
          </w:p>
        </w:tc>
      </w:tr>
      <w:tr w:rsidR="0059580B" w:rsidRPr="00FD551E" w14:paraId="026979B1" w14:textId="77777777" w:rsidTr="00CC04F4">
        <w:trPr>
          <w:trHeight w:val="1716"/>
        </w:trPr>
        <w:tc>
          <w:tcPr>
            <w:tcW w:w="1843" w:type="dxa"/>
            <w:shd w:val="clear" w:color="auto" w:fill="AEEAC1"/>
          </w:tcPr>
          <w:p w14:paraId="26E9B2A9" w14:textId="77777777" w:rsidR="0059580B" w:rsidRPr="00FD551E" w:rsidRDefault="0059580B" w:rsidP="00CC04F4">
            <w:pPr>
              <w:jc w:val="left"/>
              <w:rPr>
                <w:rFonts w:cs="Arial"/>
                <w:b/>
                <w:bCs/>
              </w:rPr>
            </w:pPr>
            <w:r w:rsidRPr="00FD551E">
              <w:rPr>
                <w:rFonts w:cs="Arial"/>
                <w:b/>
                <w:bCs/>
              </w:rPr>
              <w:t>Popis služby</w:t>
            </w:r>
          </w:p>
        </w:tc>
        <w:tc>
          <w:tcPr>
            <w:tcW w:w="7221" w:type="dxa"/>
          </w:tcPr>
          <w:p w14:paraId="76F8A0B7" w14:textId="77777777" w:rsidR="000A3615" w:rsidRPr="00FD551E" w:rsidRDefault="000A3615" w:rsidP="000A3615">
            <w:pPr>
              <w:spacing w:after="0" w:line="240" w:lineRule="auto"/>
              <w:ind w:right="74"/>
              <w:rPr>
                <w:rFonts w:cs="Arial"/>
                <w:b/>
                <w:bCs/>
              </w:rPr>
            </w:pPr>
            <w:r w:rsidRPr="00FD551E">
              <w:rPr>
                <w:rFonts w:cs="Arial"/>
                <w:b/>
                <w:bCs/>
              </w:rPr>
              <w:t>Administrace datových serverů</w:t>
            </w:r>
          </w:p>
          <w:p w14:paraId="3B3A75E8" w14:textId="0E58E05A" w:rsidR="000A3615" w:rsidRPr="00FD551E" w:rsidRDefault="000A3615" w:rsidP="00A23437">
            <w:r w:rsidRPr="00FD551E">
              <w:t xml:space="preserve">Je služba prováděná formou přímé pomoci pro produkční a testovací datový server s databázi ORACLE 10 pro systém IS AGIS pomocí vzdáleného připojení VPN. Po dobu trvání podpory bude Poskytovatel dodávat Objednateli práce v rámci Služeb Administrace datového serveru pro průběžnou podporu správy databáze systému IS AGIS. </w:t>
            </w:r>
          </w:p>
          <w:p w14:paraId="4CCA0EA3" w14:textId="77777777" w:rsidR="000A3615" w:rsidRPr="00FD551E" w:rsidRDefault="000A3615" w:rsidP="000A3615">
            <w:pPr>
              <w:spacing w:after="0" w:line="240" w:lineRule="auto"/>
              <w:ind w:right="74"/>
              <w:rPr>
                <w:rFonts w:cs="Arial"/>
                <w:b/>
                <w:bCs/>
              </w:rPr>
            </w:pPr>
            <w:r w:rsidRPr="00FD551E">
              <w:rPr>
                <w:rFonts w:cs="Arial"/>
                <w:b/>
                <w:bCs/>
              </w:rPr>
              <w:t>Administrace aplikačních serverů</w:t>
            </w:r>
          </w:p>
          <w:p w14:paraId="53ABD725" w14:textId="02A38DB4" w:rsidR="000A3615" w:rsidRPr="00FD551E" w:rsidRDefault="000A3615" w:rsidP="00331CC1">
            <w:r w:rsidRPr="00FD551E">
              <w:t xml:space="preserve">Je služba prováděná formou přímé pomoci pro produkční a testovací aplikační server ORACLE WebLogic Server </w:t>
            </w:r>
            <w:proofErr w:type="gramStart"/>
            <w:r w:rsidRPr="00FD551E">
              <w:t>11g</w:t>
            </w:r>
            <w:proofErr w:type="gramEnd"/>
            <w:r w:rsidRPr="00FD551E">
              <w:t xml:space="preserve"> pro systém IS AGIS pomocí vzdáleného připojení VPN. Po dobu trvání podpory bude Poskytovatel dodávat Objednateli práce v rámci Služeb Administrace aplikačního serveru pro průběžnou podporu správy aplikace systému IS AGIS. </w:t>
            </w:r>
          </w:p>
        </w:tc>
      </w:tr>
      <w:tr w:rsidR="0059580B" w:rsidRPr="00FD551E" w14:paraId="4791822A" w14:textId="77777777" w:rsidTr="00CC04F4">
        <w:trPr>
          <w:trHeight w:val="988"/>
        </w:trPr>
        <w:tc>
          <w:tcPr>
            <w:tcW w:w="1843" w:type="dxa"/>
            <w:shd w:val="clear" w:color="auto" w:fill="AEEAC1"/>
          </w:tcPr>
          <w:p w14:paraId="236E2736" w14:textId="789A4BEF" w:rsidR="0059580B" w:rsidRPr="00FD551E" w:rsidRDefault="0059580B" w:rsidP="00CC04F4">
            <w:pPr>
              <w:jc w:val="left"/>
              <w:rPr>
                <w:rFonts w:cs="Arial"/>
                <w:b/>
                <w:bCs/>
              </w:rPr>
            </w:pPr>
            <w:r w:rsidRPr="00FD551E">
              <w:rPr>
                <w:rFonts w:cs="Arial"/>
                <w:b/>
                <w:bCs/>
              </w:rPr>
              <w:t>Obsah služby</w:t>
            </w:r>
          </w:p>
        </w:tc>
        <w:tc>
          <w:tcPr>
            <w:tcW w:w="7221" w:type="dxa"/>
          </w:tcPr>
          <w:p w14:paraId="5DC93215" w14:textId="77777777" w:rsidR="000A3615" w:rsidRPr="00FD551E" w:rsidRDefault="000A3615" w:rsidP="000A3615">
            <w:pPr>
              <w:spacing w:after="0" w:line="240" w:lineRule="auto"/>
              <w:ind w:right="74"/>
              <w:rPr>
                <w:rFonts w:cs="Arial"/>
                <w:b/>
                <w:bCs/>
              </w:rPr>
            </w:pPr>
            <w:r w:rsidRPr="00FD551E">
              <w:rPr>
                <w:rFonts w:cs="Arial"/>
                <w:b/>
                <w:bCs/>
              </w:rPr>
              <w:t>Administrace datových serverů</w:t>
            </w:r>
          </w:p>
          <w:p w14:paraId="0A933EC0" w14:textId="06C449BE" w:rsidR="000A3615" w:rsidRPr="00FD551E" w:rsidRDefault="000A3615" w:rsidP="00A23437">
            <w:r w:rsidRPr="00FD551E">
              <w:t>Poskytovatel bude provádět expertní služby, revize a administraci databáze systému IS AGIS. Během revizí prověří pověřený pracovník Poskytovatele obvyklé provozní ukazatele a zprávy systému (minimálně auditní logy databáze a vygenerované události OEM) a bude iniciovat a sledovat nápravu problémových událostí, provede úpravy databáze</w:t>
            </w:r>
            <w:r w:rsidR="00331CC1">
              <w:t>, rekonfigurace databází</w:t>
            </w:r>
            <w:r w:rsidRPr="00FD551E">
              <w:t xml:space="preserve"> a další úkony</w:t>
            </w:r>
            <w:r w:rsidR="00331CC1">
              <w:t xml:space="preserve"> vyplývající z realizace PZ, potřebného rozsahu provádění administrace systémového landscape </w:t>
            </w:r>
            <w:proofErr w:type="gramStart"/>
            <w:r w:rsidR="00331CC1">
              <w:t>a nebo</w:t>
            </w:r>
            <w:proofErr w:type="gramEnd"/>
            <w:r w:rsidR="00331CC1">
              <w:t xml:space="preserve"> úkony</w:t>
            </w:r>
            <w:r w:rsidRPr="00FD551E">
              <w:t xml:space="preserve"> vyžádané Objednatelem.</w:t>
            </w:r>
          </w:p>
          <w:p w14:paraId="4DDB0D89" w14:textId="77777777" w:rsidR="000A3615" w:rsidRPr="00FD551E" w:rsidRDefault="000A3615" w:rsidP="000A3615">
            <w:pPr>
              <w:spacing w:after="0" w:line="240" w:lineRule="auto"/>
              <w:ind w:right="74"/>
              <w:rPr>
                <w:rFonts w:cs="Arial"/>
                <w:b/>
                <w:bCs/>
              </w:rPr>
            </w:pPr>
            <w:r w:rsidRPr="00FD551E">
              <w:rPr>
                <w:rFonts w:cs="Arial"/>
                <w:b/>
                <w:bCs/>
              </w:rPr>
              <w:t>Administrace aplikačních serverů</w:t>
            </w:r>
          </w:p>
          <w:p w14:paraId="53E30707" w14:textId="123431F2" w:rsidR="0059580B" w:rsidRPr="00FD551E" w:rsidRDefault="000A3615" w:rsidP="00331CC1">
            <w:r w:rsidRPr="00FD551E">
              <w:t xml:space="preserve">Poskytovatel bude provádět expertní služby, revize a administraci aplikačních serverů IS AGIS. Během revizí prověří pověřený pracovník Poskytovatele obvyklé provozní ukazatele a zprávy systému a bude iniciovat a sledovat nápravu problémových událostí, provede úpravy </w:t>
            </w:r>
            <w:r w:rsidR="00331CC1">
              <w:t>a</w:t>
            </w:r>
            <w:r w:rsidRPr="00FD551E">
              <w:t xml:space="preserve"> </w:t>
            </w:r>
            <w:r w:rsidR="00331CC1">
              <w:t>rekonfigurace aplikačních serverů</w:t>
            </w:r>
            <w:r w:rsidR="00331CC1" w:rsidRPr="00FD551E">
              <w:t xml:space="preserve"> a další úkony</w:t>
            </w:r>
            <w:r w:rsidR="00331CC1">
              <w:t xml:space="preserve"> vyplývající z realizace PZ, potřebného rozsahu provádění administrace systémového landscape </w:t>
            </w:r>
            <w:proofErr w:type="gramStart"/>
            <w:r w:rsidR="00331CC1">
              <w:t>a nebo</w:t>
            </w:r>
            <w:proofErr w:type="gramEnd"/>
            <w:r w:rsidR="00331CC1">
              <w:t xml:space="preserve"> úkony</w:t>
            </w:r>
            <w:r w:rsidR="00331CC1" w:rsidRPr="00FD551E">
              <w:t xml:space="preserve"> vyžádané Objednatelem.</w:t>
            </w:r>
          </w:p>
        </w:tc>
      </w:tr>
      <w:tr w:rsidR="0059580B" w:rsidRPr="00FD551E" w14:paraId="1D166C6D" w14:textId="77777777" w:rsidTr="008D2E9B">
        <w:trPr>
          <w:trHeight w:val="750"/>
        </w:trPr>
        <w:tc>
          <w:tcPr>
            <w:tcW w:w="1843" w:type="dxa"/>
            <w:shd w:val="clear" w:color="auto" w:fill="AEEAC1"/>
          </w:tcPr>
          <w:p w14:paraId="343B714E" w14:textId="77777777" w:rsidR="0059580B" w:rsidRPr="00FD551E" w:rsidRDefault="0059580B" w:rsidP="00CC04F4">
            <w:pPr>
              <w:jc w:val="left"/>
              <w:rPr>
                <w:rFonts w:cs="Arial"/>
                <w:b/>
                <w:bCs/>
              </w:rPr>
            </w:pPr>
            <w:r w:rsidRPr="00FD551E">
              <w:rPr>
                <w:rFonts w:cs="Arial"/>
                <w:b/>
                <w:bCs/>
              </w:rPr>
              <w:t>Způsob realizace služby</w:t>
            </w:r>
          </w:p>
        </w:tc>
        <w:tc>
          <w:tcPr>
            <w:tcW w:w="7221" w:type="dxa"/>
          </w:tcPr>
          <w:p w14:paraId="1F15A98E" w14:textId="105A43CB" w:rsidR="0059580B" w:rsidRPr="00FD551E" w:rsidRDefault="000A3615" w:rsidP="00A23437">
            <w:r w:rsidRPr="00FD551E">
              <w:t>Pomocí vzdáleného připojení VPN.</w:t>
            </w:r>
          </w:p>
        </w:tc>
      </w:tr>
      <w:tr w:rsidR="00331CC1" w:rsidRPr="00FD551E" w14:paraId="59F49F51" w14:textId="77777777" w:rsidTr="008D2E9B">
        <w:trPr>
          <w:trHeight w:val="750"/>
        </w:trPr>
        <w:tc>
          <w:tcPr>
            <w:tcW w:w="1843" w:type="dxa"/>
            <w:shd w:val="clear" w:color="auto" w:fill="AEEAC1"/>
          </w:tcPr>
          <w:p w14:paraId="50F6B4F5" w14:textId="27674A35" w:rsidR="00331CC1" w:rsidRPr="00FD551E" w:rsidRDefault="00331CC1" w:rsidP="00331CC1">
            <w:pPr>
              <w:jc w:val="left"/>
              <w:rPr>
                <w:rFonts w:cs="Arial"/>
                <w:b/>
                <w:bCs/>
              </w:rPr>
            </w:pPr>
            <w:r>
              <w:rPr>
                <w:rFonts w:cs="Arial"/>
                <w:b/>
                <w:bCs/>
              </w:rPr>
              <w:t>Vyhodnocovací období</w:t>
            </w:r>
          </w:p>
        </w:tc>
        <w:tc>
          <w:tcPr>
            <w:tcW w:w="7221" w:type="dxa"/>
          </w:tcPr>
          <w:p w14:paraId="238900E9" w14:textId="4096ABBF" w:rsidR="00331CC1" w:rsidRPr="00FD551E" w:rsidRDefault="00331CC1" w:rsidP="00331CC1">
            <w:r>
              <w:t>1 kalendářní měsíc</w:t>
            </w:r>
          </w:p>
        </w:tc>
      </w:tr>
      <w:tr w:rsidR="0059580B" w:rsidRPr="00FD551E" w14:paraId="628EAE4D" w14:textId="77777777" w:rsidTr="00CC04F4">
        <w:trPr>
          <w:trHeight w:val="1014"/>
        </w:trPr>
        <w:tc>
          <w:tcPr>
            <w:tcW w:w="1843" w:type="dxa"/>
            <w:shd w:val="clear" w:color="auto" w:fill="AEEAC1"/>
          </w:tcPr>
          <w:p w14:paraId="2FEA0A08" w14:textId="77777777" w:rsidR="0059580B" w:rsidRPr="00FD551E" w:rsidRDefault="0059580B" w:rsidP="00CC04F4">
            <w:pPr>
              <w:jc w:val="left"/>
              <w:rPr>
                <w:rFonts w:cs="Arial"/>
                <w:b/>
                <w:bCs/>
              </w:rPr>
            </w:pPr>
            <w:r w:rsidRPr="00FD551E">
              <w:rPr>
                <w:rFonts w:cs="Arial"/>
                <w:b/>
                <w:bCs/>
              </w:rPr>
              <w:t>Metriky</w:t>
            </w:r>
          </w:p>
        </w:tc>
        <w:tc>
          <w:tcPr>
            <w:tcW w:w="7221" w:type="dxa"/>
          </w:tcPr>
          <w:p w14:paraId="408FAA8D" w14:textId="7ACA14E7" w:rsidR="0059580B" w:rsidRPr="00FD551E" w:rsidRDefault="000A3615" w:rsidP="00A23437">
            <w:r w:rsidRPr="00FD551E">
              <w:t>Četnost incidentů (provozních problémů), rychlost odezvy na incidenty, průměrná doba řešení incidentů, rychlost odezvy na požadavky, průměrná doba řešení požadavků, množství incidentů</w:t>
            </w:r>
          </w:p>
        </w:tc>
      </w:tr>
      <w:tr w:rsidR="0059580B" w:rsidRPr="00FD551E" w14:paraId="07B8A062" w14:textId="77777777" w:rsidTr="000A3615">
        <w:trPr>
          <w:trHeight w:val="658"/>
        </w:trPr>
        <w:tc>
          <w:tcPr>
            <w:tcW w:w="1843" w:type="dxa"/>
            <w:shd w:val="clear" w:color="auto" w:fill="AEEAC1"/>
          </w:tcPr>
          <w:p w14:paraId="16C199F7" w14:textId="77777777" w:rsidR="0059580B" w:rsidRPr="00FD551E" w:rsidRDefault="0059580B" w:rsidP="00CC04F4">
            <w:pPr>
              <w:jc w:val="left"/>
              <w:rPr>
                <w:rFonts w:cs="Arial"/>
                <w:b/>
                <w:bCs/>
              </w:rPr>
            </w:pPr>
            <w:r w:rsidRPr="00FD551E">
              <w:rPr>
                <w:rFonts w:cs="Arial"/>
                <w:b/>
                <w:bCs/>
              </w:rPr>
              <w:t>Minimální hodnoty</w:t>
            </w:r>
          </w:p>
        </w:tc>
        <w:tc>
          <w:tcPr>
            <w:tcW w:w="7221" w:type="dxa"/>
          </w:tcPr>
          <w:p w14:paraId="48874040" w14:textId="5B7230A7" w:rsidR="0059580B" w:rsidRPr="00FD551E" w:rsidRDefault="000A3615" w:rsidP="00A23437">
            <w:r w:rsidRPr="00FD551E">
              <w:t>Nestanovují se</w:t>
            </w:r>
          </w:p>
        </w:tc>
      </w:tr>
      <w:tr w:rsidR="0059580B" w:rsidRPr="00FD551E" w14:paraId="719DCBD4" w14:textId="77777777" w:rsidTr="00331CC1">
        <w:trPr>
          <w:trHeight w:val="676"/>
        </w:trPr>
        <w:tc>
          <w:tcPr>
            <w:tcW w:w="1843" w:type="dxa"/>
            <w:shd w:val="clear" w:color="auto" w:fill="AEEAC1"/>
          </w:tcPr>
          <w:p w14:paraId="50ED8DDE" w14:textId="77777777" w:rsidR="0059580B" w:rsidRPr="00FD551E" w:rsidRDefault="0059580B" w:rsidP="00CC04F4">
            <w:pPr>
              <w:jc w:val="left"/>
              <w:rPr>
                <w:rFonts w:cs="Arial"/>
                <w:b/>
                <w:bCs/>
              </w:rPr>
            </w:pPr>
            <w:r w:rsidRPr="00FD551E">
              <w:rPr>
                <w:rFonts w:cs="Arial"/>
                <w:b/>
                <w:bCs/>
              </w:rPr>
              <w:t>Dostupnost služby</w:t>
            </w:r>
          </w:p>
        </w:tc>
        <w:tc>
          <w:tcPr>
            <w:tcW w:w="7221" w:type="dxa"/>
          </w:tcPr>
          <w:p w14:paraId="44685551" w14:textId="44E7B952" w:rsidR="0059580B" w:rsidRPr="00FD551E" w:rsidRDefault="000A3615" w:rsidP="00331CC1">
            <w:r w:rsidRPr="00FD551E">
              <w:t>V pracovní dny od 8:00 do 16:30 hodin</w:t>
            </w:r>
          </w:p>
        </w:tc>
      </w:tr>
      <w:tr w:rsidR="0059580B" w:rsidRPr="00FD551E" w14:paraId="1A9EA10D" w14:textId="77777777" w:rsidTr="00CC04F4">
        <w:trPr>
          <w:trHeight w:val="550"/>
        </w:trPr>
        <w:tc>
          <w:tcPr>
            <w:tcW w:w="1843" w:type="dxa"/>
            <w:shd w:val="clear" w:color="auto" w:fill="AEEAC1"/>
          </w:tcPr>
          <w:p w14:paraId="4DA18830" w14:textId="77777777" w:rsidR="0059580B" w:rsidRPr="00FD551E" w:rsidRDefault="0059580B" w:rsidP="00CC04F4">
            <w:pPr>
              <w:jc w:val="left"/>
              <w:rPr>
                <w:rFonts w:cs="Arial"/>
                <w:b/>
                <w:bCs/>
              </w:rPr>
            </w:pPr>
            <w:r w:rsidRPr="00FD551E">
              <w:rPr>
                <w:rFonts w:cs="Arial"/>
                <w:b/>
                <w:bCs/>
              </w:rPr>
              <w:t>Rozsah poskytované služby</w:t>
            </w:r>
          </w:p>
        </w:tc>
        <w:tc>
          <w:tcPr>
            <w:tcW w:w="7221" w:type="dxa"/>
          </w:tcPr>
          <w:p w14:paraId="48F28329" w14:textId="78579F7F" w:rsidR="0059580B" w:rsidRPr="00FD551E" w:rsidRDefault="00331CC1" w:rsidP="00A23437">
            <w:r>
              <w:t xml:space="preserve">Služba je poskytována </w:t>
            </w:r>
            <w:r w:rsidRPr="00FD551E">
              <w:t>nejméně jedním k dané činnosti odborně vyškoleným pracovníkem Poskytovatele</w:t>
            </w:r>
            <w:r>
              <w:t xml:space="preserve"> pro každou oblast </w:t>
            </w:r>
            <w:r w:rsidR="00EA5EB1">
              <w:t xml:space="preserve">dle </w:t>
            </w:r>
            <w:r>
              <w:t>obsahu služby</w:t>
            </w:r>
            <w:r w:rsidR="00EA5EB1">
              <w:t xml:space="preserve"> výše.</w:t>
            </w:r>
          </w:p>
        </w:tc>
      </w:tr>
      <w:tr w:rsidR="0059580B" w:rsidRPr="00FD551E" w14:paraId="52E77EAB" w14:textId="77777777" w:rsidTr="00CC04F4">
        <w:trPr>
          <w:trHeight w:val="409"/>
        </w:trPr>
        <w:tc>
          <w:tcPr>
            <w:tcW w:w="1843" w:type="dxa"/>
            <w:shd w:val="clear" w:color="auto" w:fill="AEEAC1"/>
          </w:tcPr>
          <w:p w14:paraId="486A39E6" w14:textId="77777777" w:rsidR="0059580B" w:rsidRPr="00FD551E" w:rsidRDefault="0059580B" w:rsidP="00CC04F4">
            <w:pPr>
              <w:jc w:val="left"/>
              <w:rPr>
                <w:rFonts w:cs="Arial"/>
                <w:b/>
                <w:bCs/>
              </w:rPr>
            </w:pPr>
            <w:r w:rsidRPr="00FD551E">
              <w:rPr>
                <w:rFonts w:cs="Arial"/>
                <w:b/>
                <w:bCs/>
              </w:rPr>
              <w:t>Reporting služby</w:t>
            </w:r>
          </w:p>
        </w:tc>
        <w:tc>
          <w:tcPr>
            <w:tcW w:w="7221" w:type="dxa"/>
          </w:tcPr>
          <w:p w14:paraId="3EE01F77" w14:textId="08D5E6DE" w:rsidR="0059580B" w:rsidRDefault="007C0054" w:rsidP="00A23437">
            <w:r>
              <w:t>Protokol o poskytnuté službě</w:t>
            </w:r>
          </w:p>
          <w:p w14:paraId="2E3C1B13" w14:textId="3511B50B" w:rsidR="00331CC1" w:rsidRPr="00FD551E" w:rsidRDefault="00331CC1" w:rsidP="00331CC1">
            <w:r w:rsidRPr="00FD551E">
              <w:t xml:space="preserve">Poskytovatel </w:t>
            </w:r>
            <w:r>
              <w:t xml:space="preserve">v rámci </w:t>
            </w:r>
            <w:r w:rsidR="007C0054">
              <w:t>Protokolu o poskytnuté službě</w:t>
            </w:r>
            <w:r>
              <w:t xml:space="preserve"> předá následující</w:t>
            </w:r>
            <w:r w:rsidRPr="00FD551E">
              <w:t xml:space="preserve"> protokol: Přehled provedených prací, jehož součástí je Status o datovém a aplikačním serveru systému IS AGIS za uvedené období.</w:t>
            </w:r>
          </w:p>
        </w:tc>
      </w:tr>
      <w:tr w:rsidR="0059580B" w:rsidRPr="00FD551E" w14:paraId="22705C00" w14:textId="77777777" w:rsidTr="00CC04F4">
        <w:trPr>
          <w:trHeight w:val="315"/>
        </w:trPr>
        <w:tc>
          <w:tcPr>
            <w:tcW w:w="1843" w:type="dxa"/>
            <w:shd w:val="clear" w:color="auto" w:fill="AEEAC1"/>
          </w:tcPr>
          <w:p w14:paraId="15F34D00" w14:textId="77777777" w:rsidR="0059580B" w:rsidRPr="00FD551E" w:rsidRDefault="0059580B" w:rsidP="00CC04F4">
            <w:pPr>
              <w:jc w:val="left"/>
              <w:rPr>
                <w:rFonts w:cs="Arial"/>
                <w:b/>
                <w:bCs/>
              </w:rPr>
            </w:pPr>
            <w:r w:rsidRPr="00FD551E">
              <w:rPr>
                <w:rFonts w:cs="Arial"/>
                <w:b/>
                <w:bCs/>
              </w:rPr>
              <w:t>Smluvní pokuta</w:t>
            </w:r>
          </w:p>
        </w:tc>
        <w:tc>
          <w:tcPr>
            <w:tcW w:w="7221" w:type="dxa"/>
          </w:tcPr>
          <w:p w14:paraId="31DDBB8A" w14:textId="19385E6B" w:rsidR="0059580B" w:rsidRPr="00EA5EB1" w:rsidRDefault="00EA5EB1" w:rsidP="00EA5EB1">
            <w:proofErr w:type="gramStart"/>
            <w:r>
              <w:rPr>
                <w:b/>
              </w:rPr>
              <w:t>2</w:t>
            </w:r>
            <w:r w:rsidRPr="00A04E31">
              <w:rPr>
                <w:b/>
              </w:rPr>
              <w:t>%</w:t>
            </w:r>
            <w:proofErr w:type="gramEnd"/>
            <w:r w:rsidRPr="00A04E31">
              <w:rPr>
                <w:b/>
              </w:rPr>
              <w:t xml:space="preserve"> z paušální ceny</w:t>
            </w:r>
            <w:r>
              <w:t xml:space="preserve"> za vyhodnocovací období za každé prokazatelné porušení povinností vyplývajících z tohoto katalogového listu.</w:t>
            </w:r>
          </w:p>
        </w:tc>
      </w:tr>
    </w:tbl>
    <w:tbl>
      <w:tblPr>
        <w:tblStyle w:val="Mkatabulky"/>
        <w:tblW w:w="9057" w:type="dxa"/>
        <w:tblInd w:w="9" w:type="dxa"/>
        <w:tblLayout w:type="fixed"/>
        <w:tblLook w:val="04A0" w:firstRow="1" w:lastRow="0" w:firstColumn="1" w:lastColumn="0" w:noHBand="0" w:noVBand="1"/>
      </w:tblPr>
      <w:tblGrid>
        <w:gridCol w:w="2497"/>
        <w:gridCol w:w="2253"/>
        <w:gridCol w:w="2133"/>
        <w:gridCol w:w="2174"/>
      </w:tblGrid>
      <w:tr w:rsidR="0059580B" w:rsidRPr="00FD551E" w14:paraId="75B9E2BC" w14:textId="77777777" w:rsidTr="00CC04F4">
        <w:trPr>
          <w:cantSplit/>
          <w:trHeight w:val="408"/>
        </w:trPr>
        <w:tc>
          <w:tcPr>
            <w:tcW w:w="9057" w:type="dxa"/>
            <w:gridSpan w:val="4"/>
            <w:tcBorders>
              <w:bottom w:val="single" w:sz="4" w:space="0" w:color="auto"/>
            </w:tcBorders>
            <w:shd w:val="clear" w:color="auto" w:fill="006600"/>
            <w:vAlign w:val="center"/>
          </w:tcPr>
          <w:p w14:paraId="4B862EB0" w14:textId="450E592C" w:rsidR="0059580B" w:rsidRPr="00FD551E" w:rsidRDefault="008D2E9B" w:rsidP="00CC04F4">
            <w:pPr>
              <w:spacing w:before="0" w:after="0"/>
              <w:jc w:val="left"/>
            </w:pPr>
            <w:r w:rsidRPr="00FD551E">
              <w:t>C</w:t>
            </w:r>
            <w:r w:rsidR="0059580B" w:rsidRPr="00FD551E">
              <w:t>ena služby</w:t>
            </w:r>
          </w:p>
        </w:tc>
      </w:tr>
      <w:tr w:rsidR="0059580B" w:rsidRPr="00FD551E" w14:paraId="1F9C0468" w14:textId="77777777" w:rsidTr="00CC04F4">
        <w:trPr>
          <w:cantSplit/>
          <w:trHeight w:val="410"/>
        </w:trPr>
        <w:tc>
          <w:tcPr>
            <w:tcW w:w="2497" w:type="dxa"/>
            <w:tcBorders>
              <w:bottom w:val="single" w:sz="4" w:space="0" w:color="auto"/>
            </w:tcBorders>
            <w:shd w:val="clear" w:color="auto" w:fill="AEEAC1"/>
            <w:vAlign w:val="center"/>
          </w:tcPr>
          <w:p w14:paraId="773C4D77" w14:textId="77777777" w:rsidR="0059580B" w:rsidRPr="00FD551E" w:rsidRDefault="0059580B" w:rsidP="00CC04F4">
            <w:pPr>
              <w:spacing w:before="0" w:after="0"/>
              <w:jc w:val="left"/>
            </w:pPr>
            <w:r w:rsidRPr="00FD551E">
              <w:t>Položka</w:t>
            </w:r>
          </w:p>
        </w:tc>
        <w:tc>
          <w:tcPr>
            <w:tcW w:w="2253" w:type="dxa"/>
            <w:tcBorders>
              <w:bottom w:val="single" w:sz="4" w:space="0" w:color="auto"/>
            </w:tcBorders>
            <w:shd w:val="clear" w:color="auto" w:fill="AEEAC1"/>
            <w:vAlign w:val="center"/>
          </w:tcPr>
          <w:p w14:paraId="5F74C225" w14:textId="77777777" w:rsidR="0059580B" w:rsidRPr="00FD551E" w:rsidRDefault="0059580B" w:rsidP="00DD458A">
            <w:pPr>
              <w:spacing w:before="0" w:after="0"/>
              <w:jc w:val="center"/>
            </w:pPr>
            <w:r w:rsidRPr="00FD551E">
              <w:t>Cena v Kč bez DPH</w:t>
            </w:r>
          </w:p>
        </w:tc>
        <w:tc>
          <w:tcPr>
            <w:tcW w:w="2133" w:type="dxa"/>
            <w:tcBorders>
              <w:bottom w:val="single" w:sz="4" w:space="0" w:color="auto"/>
            </w:tcBorders>
            <w:shd w:val="clear" w:color="auto" w:fill="AEEAC1"/>
            <w:vAlign w:val="center"/>
          </w:tcPr>
          <w:p w14:paraId="1D48DF48" w14:textId="77777777" w:rsidR="0059580B" w:rsidRPr="00FD551E" w:rsidRDefault="0059580B" w:rsidP="00DD458A">
            <w:pPr>
              <w:spacing w:before="0" w:after="0"/>
              <w:jc w:val="center"/>
            </w:pPr>
            <w:r w:rsidRPr="00FD551E">
              <w:t xml:space="preserve">DPH </w:t>
            </w:r>
            <w:proofErr w:type="gramStart"/>
            <w:r w:rsidRPr="00FD551E">
              <w:t>21%</w:t>
            </w:r>
            <w:proofErr w:type="gramEnd"/>
          </w:p>
        </w:tc>
        <w:tc>
          <w:tcPr>
            <w:tcW w:w="2174" w:type="dxa"/>
            <w:tcBorders>
              <w:bottom w:val="single" w:sz="4" w:space="0" w:color="auto"/>
            </w:tcBorders>
            <w:shd w:val="clear" w:color="auto" w:fill="AEEAC1"/>
            <w:vAlign w:val="center"/>
          </w:tcPr>
          <w:p w14:paraId="0FAA9ED5" w14:textId="77777777" w:rsidR="0059580B" w:rsidRPr="00FD551E" w:rsidRDefault="0059580B" w:rsidP="00DD458A">
            <w:pPr>
              <w:spacing w:before="0" w:after="0"/>
              <w:jc w:val="center"/>
            </w:pPr>
            <w:r w:rsidRPr="00FD551E">
              <w:t>Cena v Kč s DPH</w:t>
            </w:r>
          </w:p>
        </w:tc>
      </w:tr>
      <w:tr w:rsidR="00092056" w:rsidRPr="00FD551E" w14:paraId="69D1B64F" w14:textId="77777777" w:rsidTr="00DD458A">
        <w:trPr>
          <w:cantSplit/>
          <w:trHeight w:val="666"/>
        </w:trPr>
        <w:tc>
          <w:tcPr>
            <w:tcW w:w="2497" w:type="dxa"/>
            <w:tcBorders>
              <w:bottom w:val="single" w:sz="4" w:space="0" w:color="auto"/>
            </w:tcBorders>
            <w:shd w:val="clear" w:color="auto" w:fill="auto"/>
            <w:vAlign w:val="center"/>
          </w:tcPr>
          <w:p w14:paraId="3F61D802" w14:textId="77777777" w:rsidR="00092056" w:rsidRPr="00FD551E" w:rsidRDefault="00092056" w:rsidP="00092056">
            <w:pPr>
              <w:spacing w:before="0" w:after="0"/>
              <w:jc w:val="left"/>
            </w:pPr>
            <w:r w:rsidRPr="00FD551E">
              <w:t>Paušální cena za vyhodnocovací období</w:t>
            </w:r>
          </w:p>
        </w:tc>
        <w:tc>
          <w:tcPr>
            <w:tcW w:w="2253" w:type="dxa"/>
            <w:tcBorders>
              <w:bottom w:val="single" w:sz="4" w:space="0" w:color="auto"/>
            </w:tcBorders>
            <w:shd w:val="clear" w:color="auto" w:fill="auto"/>
            <w:vAlign w:val="center"/>
          </w:tcPr>
          <w:p w14:paraId="27A8907B" w14:textId="40678558" w:rsidR="00092056" w:rsidRPr="001E0598" w:rsidRDefault="00092056" w:rsidP="00DD458A">
            <w:pPr>
              <w:spacing w:before="0" w:after="0"/>
              <w:jc w:val="cente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c>
          <w:tcPr>
            <w:tcW w:w="2133" w:type="dxa"/>
            <w:tcBorders>
              <w:bottom w:val="single" w:sz="4" w:space="0" w:color="auto"/>
            </w:tcBorders>
            <w:shd w:val="clear" w:color="auto" w:fill="auto"/>
          </w:tcPr>
          <w:p w14:paraId="08BB8AAA" w14:textId="5E736419" w:rsidR="00092056" w:rsidRPr="001E0598" w:rsidRDefault="00092056" w:rsidP="00DD458A">
            <w:pPr>
              <w:spacing w:before="0" w:after="0"/>
              <w:jc w:val="cente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c>
          <w:tcPr>
            <w:tcW w:w="2174" w:type="dxa"/>
            <w:tcBorders>
              <w:bottom w:val="single" w:sz="4" w:space="0" w:color="auto"/>
            </w:tcBorders>
            <w:shd w:val="clear" w:color="auto" w:fill="auto"/>
          </w:tcPr>
          <w:p w14:paraId="1DC35647" w14:textId="0BD3F8D7" w:rsidR="00092056" w:rsidRPr="001E0598" w:rsidRDefault="00092056" w:rsidP="00DD458A">
            <w:pPr>
              <w:spacing w:before="0" w:after="0"/>
              <w:jc w:val="cente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r>
    </w:tbl>
    <w:p w14:paraId="6B730B21" w14:textId="77777777" w:rsidR="0059580B" w:rsidRPr="00FD551E" w:rsidRDefault="0059580B" w:rsidP="0059580B">
      <w:pPr>
        <w:rPr>
          <w:highlight w:val="yellow"/>
        </w:rPr>
      </w:pPr>
    </w:p>
    <w:tbl>
      <w:tblPr>
        <w:tblW w:w="0" w:type="auto"/>
        <w:tblLook w:val="01E0" w:firstRow="1" w:lastRow="1" w:firstColumn="1" w:lastColumn="1" w:noHBand="0" w:noVBand="0"/>
      </w:tblPr>
      <w:tblGrid>
        <w:gridCol w:w="9069"/>
      </w:tblGrid>
      <w:tr w:rsidR="000A3615" w:rsidRPr="00FD551E" w14:paraId="3DEC9F70" w14:textId="77777777" w:rsidTr="00DD458A">
        <w:trPr>
          <w:trHeight w:val="284"/>
        </w:trPr>
        <w:tc>
          <w:tcPr>
            <w:tcW w:w="9180" w:type="dxa"/>
            <w:shd w:val="clear" w:color="auto" w:fill="006600"/>
            <w:vAlign w:val="center"/>
          </w:tcPr>
          <w:p w14:paraId="28BB8BBD" w14:textId="7789B796" w:rsidR="000A3615" w:rsidRPr="00FD551E" w:rsidRDefault="000A3615" w:rsidP="000A3615">
            <w:pPr>
              <w:pStyle w:val="Nadpis1"/>
            </w:pPr>
            <w:bookmarkStart w:id="8" w:name="_Toc14796094"/>
            <w:r w:rsidRPr="00FD551E">
              <w:t>Katalogové listy – Služby aplikační podpory IS AGIS</w:t>
            </w:r>
            <w:bookmarkEnd w:id="8"/>
          </w:p>
        </w:tc>
      </w:tr>
    </w:tbl>
    <w:p w14:paraId="39AD53FE" w14:textId="5C60AD27" w:rsidR="000A3615" w:rsidRPr="00FD551E" w:rsidRDefault="000A3615" w:rsidP="000A3615">
      <w:pPr>
        <w:pStyle w:val="Nadpis2"/>
      </w:pPr>
      <w:bookmarkStart w:id="9" w:name="_Toc14796095"/>
      <w:r w:rsidRPr="00FD551E">
        <w:t>Služba č. 03 – Řešení provozních problémů</w:t>
      </w:r>
      <w:bookmarkEnd w:id="9"/>
      <w:r w:rsidRPr="00FD551E">
        <w:t xml:space="preserve"> </w:t>
      </w: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3"/>
        <w:gridCol w:w="7299"/>
      </w:tblGrid>
      <w:tr w:rsidR="000A3615" w:rsidRPr="00FD551E" w14:paraId="6C655FCA" w14:textId="77777777" w:rsidTr="00DD458A">
        <w:trPr>
          <w:trHeight w:val="315"/>
          <w:tblHeader/>
        </w:trPr>
        <w:tc>
          <w:tcPr>
            <w:tcW w:w="1843" w:type="dxa"/>
            <w:shd w:val="clear" w:color="auto" w:fill="006600"/>
            <w:noWrap/>
            <w:vAlign w:val="center"/>
          </w:tcPr>
          <w:p w14:paraId="497C1BFA" w14:textId="77777777" w:rsidR="000A3615" w:rsidRPr="00FD551E" w:rsidRDefault="000A3615" w:rsidP="00CC04F4">
            <w:pPr>
              <w:rPr>
                <w:rFonts w:cs="Arial"/>
                <w:b/>
              </w:rPr>
            </w:pPr>
            <w:r w:rsidRPr="00FD551E">
              <w:rPr>
                <w:rFonts w:cs="Arial"/>
                <w:b/>
              </w:rPr>
              <w:t>Název služby</w:t>
            </w:r>
          </w:p>
        </w:tc>
        <w:tc>
          <w:tcPr>
            <w:tcW w:w="7299" w:type="dxa"/>
            <w:shd w:val="clear" w:color="auto" w:fill="006600"/>
            <w:vAlign w:val="center"/>
          </w:tcPr>
          <w:p w14:paraId="394A2475" w14:textId="11BE61E5" w:rsidR="000A3615" w:rsidRPr="00FD551E" w:rsidRDefault="000A3615" w:rsidP="00CC04F4">
            <w:pPr>
              <w:rPr>
                <w:rFonts w:cs="Arial"/>
                <w:b/>
              </w:rPr>
            </w:pPr>
            <w:r w:rsidRPr="00FD551E">
              <w:rPr>
                <w:rFonts w:cs="Arial"/>
                <w:b/>
              </w:rPr>
              <w:t>Řešení provozních problémů</w:t>
            </w:r>
          </w:p>
        </w:tc>
      </w:tr>
      <w:tr w:rsidR="000A3615" w:rsidRPr="00FD551E" w14:paraId="026DDE29" w14:textId="77777777" w:rsidTr="00DD458A">
        <w:trPr>
          <w:trHeight w:val="408"/>
          <w:tblHeader/>
        </w:trPr>
        <w:tc>
          <w:tcPr>
            <w:tcW w:w="1843" w:type="dxa"/>
            <w:tcBorders>
              <w:bottom w:val="single" w:sz="6" w:space="0" w:color="auto"/>
            </w:tcBorders>
            <w:shd w:val="clear" w:color="auto" w:fill="AEEAC1"/>
          </w:tcPr>
          <w:p w14:paraId="0818A692" w14:textId="77777777" w:rsidR="000A3615" w:rsidRPr="00FD551E" w:rsidRDefault="000A3615" w:rsidP="00CC04F4">
            <w:pPr>
              <w:rPr>
                <w:rFonts w:cs="Arial"/>
                <w:b/>
                <w:bCs/>
              </w:rPr>
            </w:pPr>
            <w:r w:rsidRPr="00FD551E">
              <w:rPr>
                <w:rFonts w:cs="Arial"/>
                <w:b/>
                <w:bCs/>
              </w:rPr>
              <w:t>Skupina služeb</w:t>
            </w:r>
          </w:p>
        </w:tc>
        <w:tc>
          <w:tcPr>
            <w:tcW w:w="7299" w:type="dxa"/>
            <w:shd w:val="clear" w:color="auto" w:fill="AEEAC1"/>
          </w:tcPr>
          <w:p w14:paraId="34BAEEF4" w14:textId="4F57A0E6" w:rsidR="000A3615" w:rsidRPr="00FD551E" w:rsidRDefault="000A3615" w:rsidP="00CC04F4">
            <w:pPr>
              <w:tabs>
                <w:tab w:val="left" w:pos="8102"/>
              </w:tabs>
              <w:rPr>
                <w:rFonts w:cs="Arial"/>
              </w:rPr>
            </w:pPr>
            <w:r w:rsidRPr="00FD551E">
              <w:rPr>
                <w:rFonts w:cs="Arial"/>
              </w:rPr>
              <w:t>Aplikační podpora IS AGIS</w:t>
            </w:r>
          </w:p>
        </w:tc>
      </w:tr>
      <w:tr w:rsidR="000A3615" w:rsidRPr="00FD551E" w14:paraId="41B5E229" w14:textId="77777777" w:rsidTr="00DD458A">
        <w:trPr>
          <w:trHeight w:val="1157"/>
        </w:trPr>
        <w:tc>
          <w:tcPr>
            <w:tcW w:w="1843" w:type="dxa"/>
            <w:shd w:val="clear" w:color="auto" w:fill="AEEAC1"/>
          </w:tcPr>
          <w:p w14:paraId="4BF0845D" w14:textId="77777777" w:rsidR="000A3615" w:rsidRPr="00FD551E" w:rsidRDefault="000A3615" w:rsidP="00CC04F4">
            <w:pPr>
              <w:jc w:val="left"/>
              <w:rPr>
                <w:rFonts w:cs="Arial"/>
                <w:b/>
                <w:bCs/>
              </w:rPr>
            </w:pPr>
            <w:r w:rsidRPr="00FD551E">
              <w:rPr>
                <w:rFonts w:cs="Arial"/>
                <w:b/>
                <w:bCs/>
              </w:rPr>
              <w:t>Popis služby</w:t>
            </w:r>
          </w:p>
        </w:tc>
        <w:tc>
          <w:tcPr>
            <w:tcW w:w="7299" w:type="dxa"/>
          </w:tcPr>
          <w:p w14:paraId="5FD9CDB7" w14:textId="614FC12E" w:rsidR="000A3615" w:rsidRPr="00FD551E" w:rsidRDefault="00EA5EB1" w:rsidP="00A23437">
            <w:r>
              <w:t>Poskytovatel zajišťuje činnosti a služby potřebné</w:t>
            </w:r>
            <w:r w:rsidR="00CA3904" w:rsidRPr="00FD551E">
              <w:t xml:space="preserve"> pro řešení provozních problémů na datovém a aplikačním </w:t>
            </w:r>
            <w:proofErr w:type="gramStart"/>
            <w:r w:rsidR="00CA3904" w:rsidRPr="00FD551E">
              <w:t>serveru - produkční</w:t>
            </w:r>
            <w:proofErr w:type="gramEnd"/>
            <w:r w:rsidR="00CA3904" w:rsidRPr="00FD551E">
              <w:t xml:space="preserve"> i testovací prostředí systému IS AGIS. Tato služba je dále specifikována následovně (viz další řádek tabulky)</w:t>
            </w:r>
          </w:p>
        </w:tc>
      </w:tr>
      <w:tr w:rsidR="000A3615" w:rsidRPr="00FD551E" w14:paraId="2265B6A4" w14:textId="77777777" w:rsidTr="00DD458A">
        <w:trPr>
          <w:trHeight w:val="988"/>
        </w:trPr>
        <w:tc>
          <w:tcPr>
            <w:tcW w:w="1843" w:type="dxa"/>
            <w:shd w:val="clear" w:color="auto" w:fill="AEEAC1"/>
          </w:tcPr>
          <w:p w14:paraId="79B22252" w14:textId="77777777" w:rsidR="000A3615" w:rsidRPr="00FD551E" w:rsidRDefault="000A3615" w:rsidP="00CC04F4">
            <w:pPr>
              <w:jc w:val="left"/>
              <w:rPr>
                <w:rFonts w:cs="Arial"/>
                <w:b/>
                <w:bCs/>
              </w:rPr>
            </w:pPr>
            <w:r w:rsidRPr="00FD551E">
              <w:rPr>
                <w:rFonts w:cs="Arial"/>
                <w:b/>
                <w:bCs/>
              </w:rPr>
              <w:t>Obsah služby</w:t>
            </w:r>
          </w:p>
        </w:tc>
        <w:tc>
          <w:tcPr>
            <w:tcW w:w="7299" w:type="dxa"/>
          </w:tcPr>
          <w:p w14:paraId="23C9A9BF" w14:textId="400380E1" w:rsidR="00CA3904" w:rsidRPr="00FD551E" w:rsidRDefault="00CA3904" w:rsidP="00CA3904">
            <w:pPr>
              <w:spacing w:after="0" w:line="240" w:lineRule="auto"/>
              <w:ind w:right="74"/>
              <w:rPr>
                <w:rFonts w:cs="Arial"/>
                <w:b/>
              </w:rPr>
            </w:pPr>
            <w:r w:rsidRPr="00FD551E">
              <w:rPr>
                <w:rFonts w:cs="Arial"/>
                <w:b/>
              </w:rPr>
              <w:t>Řešení provozních problémů serverů na aplikační úrovni</w:t>
            </w:r>
          </w:p>
          <w:p w14:paraId="0A81D11E" w14:textId="6174189E" w:rsidR="00CA3904" w:rsidRPr="00FD551E" w:rsidRDefault="00CA3904" w:rsidP="00A23437">
            <w:r w:rsidRPr="00FD551E">
              <w:t xml:space="preserve">Služba se týká řešení vzniklých provozních problémů běžících aplikací IS AGIS, tedy případy, kdy současně nedošlo k systémové poruše nebo výpadku serverů. Službu zajišťuje plně Poskytovatel a případně si vyžádá spolupráci příslušných systémových pracovníků IT Objednatele. Jedná se zejména o opravu částí nebo celé aplikace nebo dat nebo při poruše – výpadku aplikace. </w:t>
            </w:r>
          </w:p>
          <w:p w14:paraId="31401F60" w14:textId="0A377FCE" w:rsidR="00CA3904" w:rsidRPr="00FD551E" w:rsidRDefault="00CA3904" w:rsidP="00CA3904">
            <w:pPr>
              <w:spacing w:after="0" w:line="240" w:lineRule="auto"/>
              <w:ind w:right="74"/>
              <w:rPr>
                <w:rFonts w:cs="Arial"/>
                <w:b/>
              </w:rPr>
            </w:pPr>
            <w:r w:rsidRPr="00FD551E">
              <w:rPr>
                <w:rFonts w:cs="Arial"/>
                <w:b/>
              </w:rPr>
              <w:t>Řešení provozních problémů serverů na systémové úrovni</w:t>
            </w:r>
          </w:p>
          <w:p w14:paraId="41DBA56A" w14:textId="0400778D" w:rsidR="000A3615" w:rsidRPr="00FD551E" w:rsidRDefault="00CA3904" w:rsidP="00A23437">
            <w:r w:rsidRPr="00FD551E">
              <w:t>Služba se týká řešení vzniklých provozních problémů prostředí, na kterých běží podporované aplikace IS AGIS, tedy případy, kdy dojde k výpadku serverů, nebo počítačových sítí. Službu zajišťují příslušní systémoví pracovníci IT Objednatele a Poskytovatel zde zajišťuje potřebnou součinnost. Jedná se zejména o součinnost při zpětném obnovení částí nebo celé aplikace ze záloh dat nebo SW aplikací při poruše – výpadku systému.</w:t>
            </w:r>
          </w:p>
        </w:tc>
      </w:tr>
      <w:tr w:rsidR="000A3615" w:rsidRPr="00FD551E" w14:paraId="7DBADC15" w14:textId="77777777" w:rsidTr="00DD458A">
        <w:trPr>
          <w:trHeight w:val="921"/>
        </w:trPr>
        <w:tc>
          <w:tcPr>
            <w:tcW w:w="1843" w:type="dxa"/>
            <w:shd w:val="clear" w:color="auto" w:fill="AEEAC1"/>
          </w:tcPr>
          <w:p w14:paraId="331C70F8" w14:textId="77777777" w:rsidR="000A3615" w:rsidRPr="00FD551E" w:rsidRDefault="000A3615" w:rsidP="00CC04F4">
            <w:pPr>
              <w:jc w:val="left"/>
              <w:rPr>
                <w:rFonts w:cs="Arial"/>
                <w:b/>
                <w:bCs/>
              </w:rPr>
            </w:pPr>
            <w:r w:rsidRPr="00FD551E">
              <w:rPr>
                <w:rFonts w:cs="Arial"/>
                <w:b/>
                <w:bCs/>
              </w:rPr>
              <w:t>Způsob realizace služby</w:t>
            </w:r>
          </w:p>
        </w:tc>
        <w:tc>
          <w:tcPr>
            <w:tcW w:w="7299" w:type="dxa"/>
          </w:tcPr>
          <w:p w14:paraId="32303054" w14:textId="27196900" w:rsidR="000A3615" w:rsidRPr="00FD551E" w:rsidRDefault="00CA3904" w:rsidP="00EA5EB1">
            <w:r w:rsidRPr="00FD551E">
              <w:t>Službu zajišťuje pověřený pracovník Poskytovatele. Služba se iniciuje přes pracoviště uživatelské podpory (</w:t>
            </w:r>
            <w:r w:rsidR="00EA5EB1">
              <w:t>viz Služba č. 01</w:t>
            </w:r>
            <w:r w:rsidRPr="00FD551E">
              <w:t xml:space="preserve">), kde pracovník Poskytovatele služby zajistí realizaci této služby. Vždy má povinnost evidovat toto iniciování </w:t>
            </w:r>
            <w:r w:rsidR="00EA5EB1">
              <w:t>v rámci</w:t>
            </w:r>
            <w:r w:rsidRPr="00FD551E">
              <w:t xml:space="preserve"> HelpDesk</w:t>
            </w:r>
            <w:r w:rsidR="00EA5EB1">
              <w:t>u</w:t>
            </w:r>
            <w:r w:rsidRPr="00FD551E">
              <w:t>.</w:t>
            </w:r>
            <w:r w:rsidR="008509BB">
              <w:t xml:space="preserve"> </w:t>
            </w:r>
            <w:r w:rsidR="008509BB" w:rsidRPr="00FD551E">
              <w:t>Dále jsou v administraci služby sledovány a dokumentovány jednotlivé výpadky systému a specifikována nápravná opatření vedoucí ke zvýšení spolehlivosti systému.</w:t>
            </w:r>
          </w:p>
        </w:tc>
      </w:tr>
      <w:tr w:rsidR="008509BB" w:rsidRPr="00FD551E" w14:paraId="0B448D73" w14:textId="77777777" w:rsidTr="00DD458A">
        <w:trPr>
          <w:trHeight w:val="921"/>
        </w:trPr>
        <w:tc>
          <w:tcPr>
            <w:tcW w:w="1843" w:type="dxa"/>
            <w:shd w:val="clear" w:color="auto" w:fill="AEEAC1"/>
          </w:tcPr>
          <w:p w14:paraId="2D6771C3" w14:textId="5E0210F7" w:rsidR="008509BB" w:rsidRPr="00FD551E" w:rsidRDefault="008509BB" w:rsidP="008509BB">
            <w:pPr>
              <w:jc w:val="left"/>
              <w:rPr>
                <w:rFonts w:cs="Arial"/>
                <w:b/>
                <w:bCs/>
              </w:rPr>
            </w:pPr>
            <w:r>
              <w:rPr>
                <w:rFonts w:cs="Arial"/>
                <w:b/>
                <w:bCs/>
              </w:rPr>
              <w:t>Vyhodnocovací období</w:t>
            </w:r>
          </w:p>
        </w:tc>
        <w:tc>
          <w:tcPr>
            <w:tcW w:w="7299" w:type="dxa"/>
          </w:tcPr>
          <w:p w14:paraId="74841C74" w14:textId="1051AFE5" w:rsidR="008509BB" w:rsidRPr="00FD551E" w:rsidRDefault="008509BB" w:rsidP="008509BB">
            <w:r>
              <w:t>1 kalendářní měsíc</w:t>
            </w:r>
          </w:p>
        </w:tc>
      </w:tr>
      <w:tr w:rsidR="000A3615" w:rsidRPr="00FD551E" w14:paraId="7BA5EFB2" w14:textId="77777777" w:rsidTr="00DD458A">
        <w:trPr>
          <w:trHeight w:val="1014"/>
        </w:trPr>
        <w:tc>
          <w:tcPr>
            <w:tcW w:w="1843" w:type="dxa"/>
            <w:shd w:val="clear" w:color="auto" w:fill="AEEAC1"/>
          </w:tcPr>
          <w:p w14:paraId="2B808BDA" w14:textId="77777777" w:rsidR="000A3615" w:rsidRPr="00FD551E" w:rsidRDefault="000A3615" w:rsidP="00CC04F4">
            <w:pPr>
              <w:jc w:val="left"/>
              <w:rPr>
                <w:rFonts w:cs="Arial"/>
                <w:b/>
                <w:bCs/>
              </w:rPr>
            </w:pPr>
            <w:r w:rsidRPr="00FD551E">
              <w:rPr>
                <w:rFonts w:cs="Arial"/>
                <w:b/>
                <w:bCs/>
              </w:rPr>
              <w:t>Metriky</w:t>
            </w:r>
          </w:p>
        </w:tc>
        <w:tc>
          <w:tcPr>
            <w:tcW w:w="7299" w:type="dxa"/>
          </w:tcPr>
          <w:p w14:paraId="7D81E7C8" w14:textId="6DCC6E6D" w:rsidR="000A3615" w:rsidRPr="00FD551E" w:rsidRDefault="00CA3904" w:rsidP="00A23437">
            <w:r w:rsidRPr="00FD551E">
              <w:t>Četnost incidentů (provozních problémů), rychlost odezvy na incidenty, průměrná doba řešení incidentů, rychlost odezvy na požadavky, průměrná doba řešení požadavků, množství incidentů</w:t>
            </w:r>
          </w:p>
        </w:tc>
      </w:tr>
      <w:tr w:rsidR="000A3615" w:rsidRPr="00FD551E" w14:paraId="7F4D9B47" w14:textId="77777777" w:rsidTr="00DD458A">
        <w:trPr>
          <w:trHeight w:val="745"/>
        </w:trPr>
        <w:tc>
          <w:tcPr>
            <w:tcW w:w="1843" w:type="dxa"/>
            <w:shd w:val="clear" w:color="auto" w:fill="AEEAC1"/>
          </w:tcPr>
          <w:p w14:paraId="27E96C3D" w14:textId="77777777" w:rsidR="000A3615" w:rsidRPr="00FD551E" w:rsidRDefault="000A3615" w:rsidP="00CC04F4">
            <w:pPr>
              <w:jc w:val="left"/>
              <w:rPr>
                <w:rFonts w:cs="Arial"/>
                <w:b/>
                <w:bCs/>
              </w:rPr>
            </w:pPr>
            <w:r w:rsidRPr="00FD551E">
              <w:rPr>
                <w:rFonts w:cs="Arial"/>
                <w:b/>
                <w:bCs/>
              </w:rPr>
              <w:t>Minimální hodnoty</w:t>
            </w:r>
          </w:p>
        </w:tc>
        <w:tc>
          <w:tcPr>
            <w:tcW w:w="7299" w:type="dxa"/>
          </w:tcPr>
          <w:p w14:paraId="0E76AD97" w14:textId="77777777" w:rsidR="008509BB" w:rsidRPr="00FD551E" w:rsidRDefault="008509BB" w:rsidP="008509BB">
            <w:r w:rsidRPr="00FD551E">
              <w:t xml:space="preserve">Rychlost odezvy na incidenty: </w:t>
            </w:r>
          </w:p>
          <w:p w14:paraId="79EE38A4" w14:textId="77777777" w:rsidR="008509BB" w:rsidRPr="00FD551E" w:rsidRDefault="008509BB" w:rsidP="008509BB">
            <w:r w:rsidRPr="00FD551E">
              <w:rPr>
                <w:b/>
              </w:rPr>
              <w:t>120 minut</w:t>
            </w:r>
            <w:r w:rsidRPr="00FD551E">
              <w:t xml:space="preserve"> v době poskytování služby (tj. v pracovní dny v době 8:00 – 16:30)</w:t>
            </w:r>
          </w:p>
          <w:p w14:paraId="42FFF406" w14:textId="77777777" w:rsidR="008509BB" w:rsidRDefault="008509BB" w:rsidP="008509BB">
            <w:pPr>
              <w:spacing w:after="0" w:line="240" w:lineRule="auto"/>
              <w:ind w:right="74"/>
              <w:jc w:val="left"/>
              <w:rPr>
                <w:rFonts w:cs="Arial"/>
              </w:rPr>
            </w:pPr>
          </w:p>
          <w:p w14:paraId="70415B2D" w14:textId="77777777" w:rsidR="008509BB" w:rsidRPr="00FD551E" w:rsidRDefault="008509BB" w:rsidP="008509BB">
            <w:pPr>
              <w:spacing w:after="0" w:line="240" w:lineRule="auto"/>
              <w:ind w:right="74"/>
              <w:jc w:val="left"/>
              <w:rPr>
                <w:rFonts w:cs="Arial"/>
              </w:rPr>
            </w:pPr>
            <w:r w:rsidRPr="00FD551E">
              <w:rPr>
                <w:rFonts w:cs="Arial"/>
              </w:rPr>
              <w:t xml:space="preserve">% </w:t>
            </w:r>
            <w:r>
              <w:rPr>
                <w:rFonts w:cs="Arial"/>
              </w:rPr>
              <w:t>vyřešených incidentů, jejichž řešení nebylo akceptováno Objednatelem</w:t>
            </w:r>
            <w:r w:rsidRPr="00FD551E">
              <w:rPr>
                <w:rFonts w:cs="Arial"/>
              </w:rPr>
              <w:t xml:space="preserve">: </w:t>
            </w:r>
          </w:p>
          <w:p w14:paraId="1DD7EA8B" w14:textId="1653B4C0" w:rsidR="000A3615" w:rsidRPr="00FD551E" w:rsidRDefault="008509BB" w:rsidP="008509BB">
            <w:pPr>
              <w:spacing w:after="0" w:line="240" w:lineRule="auto"/>
              <w:ind w:right="74"/>
              <w:rPr>
                <w:rFonts w:cs="Arial"/>
              </w:rPr>
            </w:pPr>
            <w:r w:rsidRPr="005663A8">
              <w:rPr>
                <w:b/>
              </w:rPr>
              <w:t xml:space="preserve">Maximální hodnota </w:t>
            </w:r>
            <w:proofErr w:type="gramStart"/>
            <w:r w:rsidRPr="005663A8">
              <w:rPr>
                <w:b/>
              </w:rPr>
              <w:t>5%</w:t>
            </w:r>
            <w:proofErr w:type="gramEnd"/>
            <w:r w:rsidRPr="005663A8">
              <w:rPr>
                <w:b/>
              </w:rPr>
              <w:t xml:space="preserve"> v kalendářním měsíci</w:t>
            </w:r>
            <w:r w:rsidRPr="00FD551E">
              <w:t xml:space="preserve"> (</w:t>
            </w:r>
            <w:r>
              <w:t xml:space="preserve">počítáno z počtu incidentů řešených v daném vyhodnocovacím období, </w:t>
            </w:r>
            <w:r w:rsidRPr="00FD551E">
              <w:t>v případě incidentů s přesahem do více kalendářních měsíců jsou tyto počítány do měsíce, kdy byl incident poprvé označen ze strany poskytovatele jako vyřešený/uzavřený)</w:t>
            </w:r>
          </w:p>
        </w:tc>
      </w:tr>
      <w:tr w:rsidR="000A3615" w:rsidRPr="00FD551E" w14:paraId="4495B42C" w14:textId="77777777" w:rsidTr="00DD458A">
        <w:trPr>
          <w:trHeight w:val="675"/>
        </w:trPr>
        <w:tc>
          <w:tcPr>
            <w:tcW w:w="1843" w:type="dxa"/>
            <w:shd w:val="clear" w:color="auto" w:fill="AEEAC1"/>
          </w:tcPr>
          <w:p w14:paraId="5F4AE941" w14:textId="77777777" w:rsidR="000A3615" w:rsidRPr="00FD551E" w:rsidRDefault="000A3615" w:rsidP="00CC04F4">
            <w:pPr>
              <w:jc w:val="left"/>
              <w:rPr>
                <w:rFonts w:cs="Arial"/>
                <w:b/>
                <w:bCs/>
              </w:rPr>
            </w:pPr>
            <w:r w:rsidRPr="00FD551E">
              <w:rPr>
                <w:rFonts w:cs="Arial"/>
                <w:b/>
                <w:bCs/>
              </w:rPr>
              <w:t>Dostupnost služby</w:t>
            </w:r>
          </w:p>
        </w:tc>
        <w:tc>
          <w:tcPr>
            <w:tcW w:w="7299" w:type="dxa"/>
          </w:tcPr>
          <w:p w14:paraId="57E34332" w14:textId="2449F6B4" w:rsidR="000A3615" w:rsidRPr="00FD551E" w:rsidRDefault="00CA3904" w:rsidP="008509BB">
            <w:r w:rsidRPr="00FD551E">
              <w:t>V pracovní dny od 8:00 do 16:30 hodin</w:t>
            </w:r>
          </w:p>
        </w:tc>
      </w:tr>
      <w:tr w:rsidR="000A3615" w:rsidRPr="00FD551E" w14:paraId="4B370C9C" w14:textId="77777777" w:rsidTr="00DD458A">
        <w:trPr>
          <w:trHeight w:val="550"/>
        </w:trPr>
        <w:tc>
          <w:tcPr>
            <w:tcW w:w="1843" w:type="dxa"/>
            <w:shd w:val="clear" w:color="auto" w:fill="AEEAC1"/>
          </w:tcPr>
          <w:p w14:paraId="3E2DE21D" w14:textId="77777777" w:rsidR="000A3615" w:rsidRPr="00FD551E" w:rsidRDefault="000A3615" w:rsidP="00CC04F4">
            <w:pPr>
              <w:jc w:val="left"/>
              <w:rPr>
                <w:rFonts w:cs="Arial"/>
                <w:b/>
                <w:bCs/>
              </w:rPr>
            </w:pPr>
            <w:r w:rsidRPr="00FD551E">
              <w:rPr>
                <w:rFonts w:cs="Arial"/>
                <w:b/>
                <w:bCs/>
              </w:rPr>
              <w:t>Rozsah poskytované služby</w:t>
            </w:r>
          </w:p>
        </w:tc>
        <w:tc>
          <w:tcPr>
            <w:tcW w:w="7299" w:type="dxa"/>
          </w:tcPr>
          <w:p w14:paraId="01483C1E" w14:textId="14378210" w:rsidR="000A3615" w:rsidRPr="00FD551E" w:rsidRDefault="00EA5EB1" w:rsidP="00EA5EB1">
            <w:r>
              <w:t>Služba je poskytována</w:t>
            </w:r>
            <w:r w:rsidRPr="00FD551E">
              <w:t xml:space="preserve"> nejméně jedním k dané činnosti odborně vyškoleným pracovníkem Poskytovatele.</w:t>
            </w:r>
          </w:p>
        </w:tc>
      </w:tr>
      <w:tr w:rsidR="000A3615" w:rsidRPr="00FD551E" w14:paraId="188D9E78" w14:textId="77777777" w:rsidTr="00DD458A">
        <w:trPr>
          <w:trHeight w:val="409"/>
        </w:trPr>
        <w:tc>
          <w:tcPr>
            <w:tcW w:w="1843" w:type="dxa"/>
            <w:shd w:val="clear" w:color="auto" w:fill="AEEAC1"/>
          </w:tcPr>
          <w:p w14:paraId="7807BC86" w14:textId="77777777" w:rsidR="000A3615" w:rsidRPr="00FD551E" w:rsidRDefault="000A3615" w:rsidP="00CC04F4">
            <w:pPr>
              <w:jc w:val="left"/>
              <w:rPr>
                <w:rFonts w:cs="Arial"/>
                <w:b/>
                <w:bCs/>
              </w:rPr>
            </w:pPr>
            <w:r w:rsidRPr="00FD551E">
              <w:rPr>
                <w:rFonts w:cs="Arial"/>
                <w:b/>
                <w:bCs/>
              </w:rPr>
              <w:t>Reporting služby</w:t>
            </w:r>
          </w:p>
        </w:tc>
        <w:tc>
          <w:tcPr>
            <w:tcW w:w="7299" w:type="dxa"/>
          </w:tcPr>
          <w:p w14:paraId="06A97998" w14:textId="5D29B68E" w:rsidR="000A3615" w:rsidRDefault="007C0054" w:rsidP="00CC04F4">
            <w:pPr>
              <w:spacing w:after="0" w:line="240" w:lineRule="auto"/>
              <w:ind w:right="74"/>
              <w:jc w:val="left"/>
              <w:rPr>
                <w:rFonts w:cs="Arial"/>
              </w:rPr>
            </w:pPr>
            <w:r>
              <w:t>Protokol o poskytnuté službě</w:t>
            </w:r>
          </w:p>
          <w:p w14:paraId="5BD86AFF" w14:textId="67D440EE" w:rsidR="00EA5EB1" w:rsidRPr="00FD551E" w:rsidRDefault="00EA5EB1" w:rsidP="007C0054">
            <w:pPr>
              <w:spacing w:after="0" w:line="240" w:lineRule="auto"/>
              <w:ind w:right="74"/>
              <w:jc w:val="left"/>
              <w:rPr>
                <w:rFonts w:cs="Arial"/>
              </w:rPr>
            </w:pPr>
            <w:r w:rsidRPr="00FD551E">
              <w:t xml:space="preserve">Poskytovatel </w:t>
            </w:r>
            <w:r w:rsidR="007C0054">
              <w:t>v rámci Protokolu o poskytnuté službě vede</w:t>
            </w:r>
            <w:r w:rsidRPr="00FD551E">
              <w:t>: Přehled provedených prací, jehož součástí je Status o datovém a aplikačním serveru systému IS AGIS za uvedené období.</w:t>
            </w:r>
          </w:p>
        </w:tc>
      </w:tr>
      <w:tr w:rsidR="000A3615" w:rsidRPr="00FD551E" w14:paraId="6DA0886C" w14:textId="77777777" w:rsidTr="00DD458A">
        <w:trPr>
          <w:trHeight w:val="315"/>
        </w:trPr>
        <w:tc>
          <w:tcPr>
            <w:tcW w:w="1843" w:type="dxa"/>
            <w:shd w:val="clear" w:color="auto" w:fill="AEEAC1"/>
          </w:tcPr>
          <w:p w14:paraId="0C050F4E" w14:textId="77777777" w:rsidR="000A3615" w:rsidRPr="00FD551E" w:rsidRDefault="000A3615" w:rsidP="00CC04F4">
            <w:pPr>
              <w:jc w:val="left"/>
              <w:rPr>
                <w:rFonts w:cs="Arial"/>
                <w:b/>
                <w:bCs/>
              </w:rPr>
            </w:pPr>
            <w:r w:rsidRPr="00FD551E">
              <w:rPr>
                <w:rFonts w:cs="Arial"/>
                <w:b/>
                <w:bCs/>
              </w:rPr>
              <w:t>Smluvní pokuta</w:t>
            </w:r>
          </w:p>
        </w:tc>
        <w:tc>
          <w:tcPr>
            <w:tcW w:w="7299" w:type="dxa"/>
          </w:tcPr>
          <w:p w14:paraId="4C279EE7" w14:textId="77777777" w:rsidR="008509BB" w:rsidRDefault="008509BB" w:rsidP="008509BB">
            <w:r w:rsidRPr="00FD551E">
              <w:t>Výše smluvní pokuty je</w:t>
            </w:r>
            <w:r>
              <w:t>:</w:t>
            </w:r>
          </w:p>
          <w:p w14:paraId="2707E1E1" w14:textId="77777777" w:rsidR="008509BB" w:rsidRDefault="008509BB" w:rsidP="008509BB">
            <w:proofErr w:type="gramStart"/>
            <w:r w:rsidRPr="00A04E31">
              <w:rPr>
                <w:b/>
              </w:rPr>
              <w:t>3%</w:t>
            </w:r>
            <w:proofErr w:type="gramEnd"/>
            <w:r w:rsidRPr="00A04E31">
              <w:rPr>
                <w:b/>
              </w:rPr>
              <w:t xml:space="preserve"> z paušální ceny</w:t>
            </w:r>
            <w:r>
              <w:t xml:space="preserve"> za vyhodnocovací období za každý incident, u něhož nebyla dodržena rychlost odezvy</w:t>
            </w:r>
          </w:p>
          <w:p w14:paraId="3928CF2B" w14:textId="74714608" w:rsidR="000A3615" w:rsidRPr="00FD551E" w:rsidRDefault="008509BB" w:rsidP="008509BB">
            <w:pPr>
              <w:spacing w:line="240" w:lineRule="auto"/>
              <w:rPr>
                <w:rFonts w:cs="Arial"/>
              </w:rPr>
            </w:pPr>
            <w:proofErr w:type="gramStart"/>
            <w:r>
              <w:rPr>
                <w:b/>
              </w:rPr>
              <w:t>3</w:t>
            </w:r>
            <w:r w:rsidRPr="00A04E31">
              <w:rPr>
                <w:b/>
              </w:rPr>
              <w:t>%</w:t>
            </w:r>
            <w:proofErr w:type="gramEnd"/>
            <w:r w:rsidRPr="00A04E31">
              <w:rPr>
                <w:b/>
              </w:rPr>
              <w:t xml:space="preserve"> z paušální ceny</w:t>
            </w:r>
            <w:r>
              <w:rPr>
                <w:b/>
              </w:rPr>
              <w:t xml:space="preserve"> </w:t>
            </w:r>
            <w:r>
              <w:t xml:space="preserve">za vyhodnocovací období za každé 1% nad maximální hodnotu 5% neakceptovaných incidentů  </w:t>
            </w:r>
          </w:p>
        </w:tc>
      </w:tr>
    </w:tbl>
    <w:tbl>
      <w:tblPr>
        <w:tblStyle w:val="Mkatabulky"/>
        <w:tblW w:w="9171" w:type="dxa"/>
        <w:tblInd w:w="9" w:type="dxa"/>
        <w:tblLayout w:type="fixed"/>
        <w:tblLook w:val="04A0" w:firstRow="1" w:lastRow="0" w:firstColumn="1" w:lastColumn="0" w:noHBand="0" w:noVBand="1"/>
      </w:tblPr>
      <w:tblGrid>
        <w:gridCol w:w="2497"/>
        <w:gridCol w:w="2253"/>
        <w:gridCol w:w="2133"/>
        <w:gridCol w:w="2288"/>
      </w:tblGrid>
      <w:tr w:rsidR="000A3615" w:rsidRPr="00FD551E" w14:paraId="58D3F90E" w14:textId="77777777" w:rsidTr="00DD458A">
        <w:trPr>
          <w:cantSplit/>
          <w:trHeight w:val="408"/>
        </w:trPr>
        <w:tc>
          <w:tcPr>
            <w:tcW w:w="9171" w:type="dxa"/>
            <w:gridSpan w:val="4"/>
            <w:tcBorders>
              <w:bottom w:val="single" w:sz="4" w:space="0" w:color="auto"/>
            </w:tcBorders>
            <w:shd w:val="clear" w:color="auto" w:fill="006600"/>
            <w:vAlign w:val="center"/>
          </w:tcPr>
          <w:p w14:paraId="429E9557" w14:textId="77777777" w:rsidR="000A3615" w:rsidRPr="00FD551E" w:rsidRDefault="000A3615" w:rsidP="00CC04F4">
            <w:pPr>
              <w:spacing w:before="0" w:after="0"/>
              <w:jc w:val="left"/>
            </w:pPr>
            <w:r w:rsidRPr="00FD551E">
              <w:t>Cena služby</w:t>
            </w:r>
          </w:p>
        </w:tc>
      </w:tr>
      <w:tr w:rsidR="000A3615" w:rsidRPr="00FD551E" w14:paraId="47AC10C4" w14:textId="77777777" w:rsidTr="00DD458A">
        <w:trPr>
          <w:cantSplit/>
          <w:trHeight w:val="410"/>
        </w:trPr>
        <w:tc>
          <w:tcPr>
            <w:tcW w:w="2497" w:type="dxa"/>
            <w:tcBorders>
              <w:bottom w:val="single" w:sz="4" w:space="0" w:color="auto"/>
            </w:tcBorders>
            <w:shd w:val="clear" w:color="auto" w:fill="AEEAC1"/>
            <w:vAlign w:val="center"/>
          </w:tcPr>
          <w:p w14:paraId="57066EBE" w14:textId="77777777" w:rsidR="000A3615" w:rsidRPr="00FD551E" w:rsidRDefault="000A3615" w:rsidP="00CC04F4">
            <w:pPr>
              <w:spacing w:before="0" w:after="0"/>
              <w:jc w:val="left"/>
            </w:pPr>
            <w:r w:rsidRPr="00FD551E">
              <w:t>Položka</w:t>
            </w:r>
          </w:p>
        </w:tc>
        <w:tc>
          <w:tcPr>
            <w:tcW w:w="2253" w:type="dxa"/>
            <w:tcBorders>
              <w:bottom w:val="single" w:sz="4" w:space="0" w:color="auto"/>
            </w:tcBorders>
            <w:shd w:val="clear" w:color="auto" w:fill="AEEAC1"/>
            <w:vAlign w:val="center"/>
          </w:tcPr>
          <w:p w14:paraId="2CD35501" w14:textId="77777777" w:rsidR="000A3615" w:rsidRPr="00FD551E" w:rsidRDefault="000A3615" w:rsidP="00DD458A">
            <w:pPr>
              <w:spacing w:before="0" w:after="0"/>
              <w:jc w:val="center"/>
            </w:pPr>
            <w:r w:rsidRPr="00FD551E">
              <w:t>Cena v Kč bez DPH</w:t>
            </w:r>
          </w:p>
        </w:tc>
        <w:tc>
          <w:tcPr>
            <w:tcW w:w="2133" w:type="dxa"/>
            <w:tcBorders>
              <w:bottom w:val="single" w:sz="4" w:space="0" w:color="auto"/>
            </w:tcBorders>
            <w:shd w:val="clear" w:color="auto" w:fill="AEEAC1"/>
            <w:vAlign w:val="center"/>
          </w:tcPr>
          <w:p w14:paraId="4270C302" w14:textId="77777777" w:rsidR="000A3615" w:rsidRPr="00FD551E" w:rsidRDefault="000A3615" w:rsidP="00DD458A">
            <w:pPr>
              <w:spacing w:before="0" w:after="0"/>
              <w:jc w:val="center"/>
            </w:pPr>
            <w:r w:rsidRPr="00FD551E">
              <w:t xml:space="preserve">DPH </w:t>
            </w:r>
            <w:proofErr w:type="gramStart"/>
            <w:r w:rsidRPr="00FD551E">
              <w:t>21%</w:t>
            </w:r>
            <w:proofErr w:type="gramEnd"/>
          </w:p>
        </w:tc>
        <w:tc>
          <w:tcPr>
            <w:tcW w:w="2288" w:type="dxa"/>
            <w:tcBorders>
              <w:bottom w:val="single" w:sz="4" w:space="0" w:color="auto"/>
            </w:tcBorders>
            <w:shd w:val="clear" w:color="auto" w:fill="AEEAC1"/>
            <w:vAlign w:val="center"/>
          </w:tcPr>
          <w:p w14:paraId="7AF5EDAD" w14:textId="77777777" w:rsidR="000A3615" w:rsidRPr="00FD551E" w:rsidRDefault="000A3615" w:rsidP="00DD458A">
            <w:pPr>
              <w:spacing w:before="0" w:after="0"/>
              <w:jc w:val="center"/>
            </w:pPr>
            <w:r w:rsidRPr="00FD551E">
              <w:t>Cena v Kč s DPH</w:t>
            </w:r>
          </w:p>
        </w:tc>
      </w:tr>
      <w:tr w:rsidR="006D220E" w:rsidRPr="00FD551E" w14:paraId="74490957" w14:textId="77777777" w:rsidTr="00DD458A">
        <w:trPr>
          <w:cantSplit/>
          <w:trHeight w:val="666"/>
        </w:trPr>
        <w:tc>
          <w:tcPr>
            <w:tcW w:w="2497" w:type="dxa"/>
            <w:tcBorders>
              <w:bottom w:val="single" w:sz="4" w:space="0" w:color="auto"/>
            </w:tcBorders>
            <w:shd w:val="clear" w:color="auto" w:fill="auto"/>
            <w:vAlign w:val="center"/>
          </w:tcPr>
          <w:p w14:paraId="2F0C000D" w14:textId="77777777" w:rsidR="006D220E" w:rsidRPr="00FD551E" w:rsidRDefault="006D220E" w:rsidP="00CC04F4">
            <w:pPr>
              <w:spacing w:before="0" w:after="0"/>
              <w:jc w:val="left"/>
            </w:pPr>
            <w:r w:rsidRPr="00FD551E">
              <w:t>Paušální cena za vyhodnocovací období</w:t>
            </w:r>
          </w:p>
        </w:tc>
        <w:tc>
          <w:tcPr>
            <w:tcW w:w="2253" w:type="dxa"/>
            <w:tcBorders>
              <w:bottom w:val="single" w:sz="4" w:space="0" w:color="auto"/>
            </w:tcBorders>
            <w:shd w:val="clear" w:color="auto" w:fill="auto"/>
            <w:vAlign w:val="center"/>
          </w:tcPr>
          <w:p w14:paraId="7A6ACC2F" w14:textId="5DFDF6D8" w:rsidR="006D220E" w:rsidRPr="006D220E" w:rsidRDefault="00A574E3" w:rsidP="00DD458A">
            <w:pPr>
              <w:spacing w:before="0" w:after="0"/>
              <w:jc w:val="cente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c>
          <w:tcPr>
            <w:tcW w:w="2133" w:type="dxa"/>
            <w:tcBorders>
              <w:bottom w:val="single" w:sz="4" w:space="0" w:color="auto"/>
            </w:tcBorders>
            <w:shd w:val="clear" w:color="auto" w:fill="auto"/>
            <w:vAlign w:val="center"/>
          </w:tcPr>
          <w:p w14:paraId="6E2822A1" w14:textId="72F392C9" w:rsidR="006D220E" w:rsidRPr="006D220E" w:rsidRDefault="00A574E3" w:rsidP="00DD458A">
            <w:pPr>
              <w:spacing w:before="0" w:after="0"/>
              <w:jc w:val="cente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c>
          <w:tcPr>
            <w:tcW w:w="2288" w:type="dxa"/>
            <w:tcBorders>
              <w:bottom w:val="single" w:sz="4" w:space="0" w:color="auto"/>
            </w:tcBorders>
            <w:shd w:val="clear" w:color="auto" w:fill="auto"/>
            <w:vAlign w:val="center"/>
          </w:tcPr>
          <w:p w14:paraId="14C56890" w14:textId="05530C74" w:rsidR="006D220E" w:rsidRPr="006D220E" w:rsidRDefault="00A574E3" w:rsidP="00DD458A">
            <w:pPr>
              <w:spacing w:before="0" w:after="0"/>
              <w:jc w:val="cente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r>
    </w:tbl>
    <w:p w14:paraId="30F8552E" w14:textId="77777777" w:rsidR="000A3615" w:rsidRPr="00FD551E" w:rsidRDefault="000A3615" w:rsidP="000A3615">
      <w:pPr>
        <w:rPr>
          <w:highlight w:val="yellow"/>
        </w:rPr>
      </w:pPr>
    </w:p>
    <w:p w14:paraId="053FC33B" w14:textId="5483A55C" w:rsidR="00CA3904" w:rsidRPr="00FD551E" w:rsidRDefault="00CA3904" w:rsidP="00CA3904">
      <w:pPr>
        <w:pStyle w:val="Nadpis2"/>
        <w:pageBreakBefore/>
      </w:pPr>
      <w:bookmarkStart w:id="10" w:name="_Toc14796096"/>
      <w:r w:rsidRPr="00FD551E">
        <w:t>Služba č. 04 – Řešení změnových požadavků</w:t>
      </w:r>
      <w:bookmarkEnd w:id="10"/>
      <w:r w:rsidRPr="00FD551E">
        <w:t xml:space="preserve"> </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3"/>
        <w:gridCol w:w="7221"/>
      </w:tblGrid>
      <w:tr w:rsidR="00CA3904" w:rsidRPr="00FD551E" w14:paraId="445E3307" w14:textId="77777777" w:rsidTr="00CC04F4">
        <w:trPr>
          <w:trHeight w:val="315"/>
          <w:tblHeader/>
        </w:trPr>
        <w:tc>
          <w:tcPr>
            <w:tcW w:w="1843" w:type="dxa"/>
            <w:shd w:val="clear" w:color="auto" w:fill="006600"/>
            <w:noWrap/>
            <w:vAlign w:val="center"/>
          </w:tcPr>
          <w:p w14:paraId="7A31535F" w14:textId="77777777" w:rsidR="00CA3904" w:rsidRPr="00FD551E" w:rsidRDefault="00CA3904" w:rsidP="00CC04F4">
            <w:pPr>
              <w:rPr>
                <w:rFonts w:cs="Arial"/>
                <w:b/>
              </w:rPr>
            </w:pPr>
            <w:r w:rsidRPr="00FD551E">
              <w:rPr>
                <w:rFonts w:cs="Arial"/>
                <w:b/>
              </w:rPr>
              <w:t>Název služby</w:t>
            </w:r>
          </w:p>
        </w:tc>
        <w:tc>
          <w:tcPr>
            <w:tcW w:w="7221" w:type="dxa"/>
            <w:shd w:val="clear" w:color="auto" w:fill="006600"/>
            <w:vAlign w:val="center"/>
          </w:tcPr>
          <w:p w14:paraId="51585268" w14:textId="0FA4FA32" w:rsidR="00CA3904" w:rsidRPr="00FD551E" w:rsidRDefault="00CA3904" w:rsidP="00CA3904">
            <w:pPr>
              <w:rPr>
                <w:rFonts w:cs="Arial"/>
                <w:b/>
              </w:rPr>
            </w:pPr>
            <w:r w:rsidRPr="00FD551E">
              <w:rPr>
                <w:rFonts w:cs="Arial"/>
                <w:b/>
              </w:rPr>
              <w:t>Řešení změnových požadavků</w:t>
            </w:r>
          </w:p>
        </w:tc>
      </w:tr>
      <w:tr w:rsidR="00CA3904" w:rsidRPr="00FD551E" w14:paraId="18DA01F1" w14:textId="77777777" w:rsidTr="00CC04F4">
        <w:trPr>
          <w:trHeight w:val="408"/>
          <w:tblHeader/>
        </w:trPr>
        <w:tc>
          <w:tcPr>
            <w:tcW w:w="1843" w:type="dxa"/>
            <w:tcBorders>
              <w:bottom w:val="single" w:sz="6" w:space="0" w:color="auto"/>
            </w:tcBorders>
            <w:shd w:val="clear" w:color="auto" w:fill="AEEAC1"/>
          </w:tcPr>
          <w:p w14:paraId="6CD865D0" w14:textId="77777777" w:rsidR="00CA3904" w:rsidRPr="00FD551E" w:rsidRDefault="00CA3904" w:rsidP="00CC04F4">
            <w:pPr>
              <w:rPr>
                <w:rFonts w:cs="Arial"/>
                <w:b/>
                <w:bCs/>
              </w:rPr>
            </w:pPr>
            <w:r w:rsidRPr="00FD551E">
              <w:rPr>
                <w:rFonts w:cs="Arial"/>
                <w:b/>
                <w:bCs/>
              </w:rPr>
              <w:t>Skupina služeb</w:t>
            </w:r>
          </w:p>
        </w:tc>
        <w:tc>
          <w:tcPr>
            <w:tcW w:w="7221" w:type="dxa"/>
            <w:shd w:val="clear" w:color="auto" w:fill="AEEAC1"/>
          </w:tcPr>
          <w:p w14:paraId="44C6C756" w14:textId="77777777" w:rsidR="00CA3904" w:rsidRPr="00FD551E" w:rsidRDefault="00CA3904" w:rsidP="00CC04F4">
            <w:pPr>
              <w:tabs>
                <w:tab w:val="left" w:pos="8102"/>
              </w:tabs>
              <w:rPr>
                <w:rFonts w:cs="Arial"/>
              </w:rPr>
            </w:pPr>
            <w:r w:rsidRPr="00FD551E">
              <w:rPr>
                <w:rFonts w:cs="Arial"/>
              </w:rPr>
              <w:t>Aplikační podpora IS AGIS</w:t>
            </w:r>
          </w:p>
        </w:tc>
      </w:tr>
      <w:tr w:rsidR="00CA3904" w:rsidRPr="00FD551E" w14:paraId="3F9D1B75" w14:textId="77777777" w:rsidTr="00CC04F4">
        <w:trPr>
          <w:trHeight w:val="1157"/>
        </w:trPr>
        <w:tc>
          <w:tcPr>
            <w:tcW w:w="1843" w:type="dxa"/>
            <w:shd w:val="clear" w:color="auto" w:fill="AEEAC1"/>
          </w:tcPr>
          <w:p w14:paraId="7E8929E7" w14:textId="77777777" w:rsidR="00CA3904" w:rsidRPr="00FD551E" w:rsidRDefault="00CA3904" w:rsidP="00CC04F4">
            <w:pPr>
              <w:jc w:val="left"/>
              <w:rPr>
                <w:rFonts w:cs="Arial"/>
                <w:b/>
                <w:bCs/>
              </w:rPr>
            </w:pPr>
            <w:r w:rsidRPr="00FD551E">
              <w:rPr>
                <w:rFonts w:cs="Arial"/>
                <w:b/>
                <w:bCs/>
              </w:rPr>
              <w:t>Popis služby</w:t>
            </w:r>
          </w:p>
        </w:tc>
        <w:tc>
          <w:tcPr>
            <w:tcW w:w="7221" w:type="dxa"/>
          </w:tcPr>
          <w:p w14:paraId="6DB69D28" w14:textId="77777777" w:rsidR="00CA3904" w:rsidRPr="00FD551E" w:rsidRDefault="00CA3904" w:rsidP="00A23437">
            <w:r w:rsidRPr="00FD551E">
              <w:t xml:space="preserve">Pomocí služby se realizují a evidují veškeré změny na IS AGIS. </w:t>
            </w:r>
            <w:r w:rsidRPr="00FD551E">
              <w:br/>
              <w:t>Změny mohou být vyvolané požadavkem uživatele vlivem změny v metodice administrace, vlivem změn legislativy (EU a ČR), požadavkem uživatele na racionalizaci, nebo zlepšení prováděných postupů v IS AGIS.</w:t>
            </w:r>
          </w:p>
          <w:p w14:paraId="7C676287" w14:textId="77777777" w:rsidR="00CA3904" w:rsidRPr="00FD551E" w:rsidRDefault="00CA3904" w:rsidP="00A23437">
            <w:pPr>
              <w:rPr>
                <w:rFonts w:cs="Arial"/>
              </w:rPr>
            </w:pPr>
            <w:r w:rsidRPr="00FD551E">
              <w:rPr>
                <w:rFonts w:cs="Arial"/>
              </w:rPr>
              <w:t>Požadavky na změnu může navrhovat i Poskytovatel služby, zejména v případech, kdy dochází k systémovým změnám (nové verze operačních systémů, databázových a aplikačních severů, nových vývojových prostředku a technologií) anebo změnám v HW systémech.</w:t>
            </w:r>
          </w:p>
          <w:p w14:paraId="6F197B53" w14:textId="0034C8E2" w:rsidR="00CA3904" w:rsidRPr="00FD551E" w:rsidRDefault="00CA3904" w:rsidP="00A23437">
            <w:pPr>
              <w:rPr>
                <w:rFonts w:cs="Arial"/>
              </w:rPr>
            </w:pPr>
            <w:r w:rsidRPr="00FD551E">
              <w:rPr>
                <w:rFonts w:cs="Arial"/>
              </w:rPr>
              <w:t>Požadavky na změny může vznášet i systémový integrátor (změny/nová rozhraní, společné datové registry, výstupy a vstupy IS AGIS)</w:t>
            </w:r>
          </w:p>
        </w:tc>
      </w:tr>
      <w:tr w:rsidR="00CA3904" w:rsidRPr="00FD551E" w14:paraId="221B4302" w14:textId="77777777" w:rsidTr="00CA3904">
        <w:trPr>
          <w:trHeight w:val="1084"/>
        </w:trPr>
        <w:tc>
          <w:tcPr>
            <w:tcW w:w="1843" w:type="dxa"/>
            <w:shd w:val="clear" w:color="auto" w:fill="AEEAC1"/>
          </w:tcPr>
          <w:p w14:paraId="09333E89" w14:textId="77777777" w:rsidR="00CA3904" w:rsidRPr="00FD551E" w:rsidRDefault="00CA3904" w:rsidP="00CC04F4">
            <w:pPr>
              <w:jc w:val="left"/>
              <w:rPr>
                <w:rFonts w:cs="Arial"/>
                <w:b/>
                <w:bCs/>
              </w:rPr>
            </w:pPr>
            <w:r w:rsidRPr="00FD551E">
              <w:rPr>
                <w:rFonts w:cs="Arial"/>
                <w:b/>
                <w:bCs/>
              </w:rPr>
              <w:t>Obsah služby</w:t>
            </w:r>
          </w:p>
        </w:tc>
        <w:tc>
          <w:tcPr>
            <w:tcW w:w="7221" w:type="dxa"/>
          </w:tcPr>
          <w:p w14:paraId="618E107C" w14:textId="64474A79" w:rsidR="00CA3904" w:rsidRPr="00FD551E" w:rsidRDefault="00CA3904" w:rsidP="00A23437">
            <w:r w:rsidRPr="00FD551E">
              <w:t>Obsahem Služby je poskytování služeb Poskytovatele za účelem dalšího rozvoje systému a rozvoje pro koncové uživatele. Změnovému řízení podléhají všechny změny vyvolané a následně provedené na IS AGIS. Účelem změnového řízení je realizovat a evidovat veškeré prováděné změny a zásahy do systému.</w:t>
            </w:r>
          </w:p>
        </w:tc>
      </w:tr>
      <w:tr w:rsidR="00CA3904" w:rsidRPr="00FD551E" w14:paraId="7855092F" w14:textId="77777777" w:rsidTr="00CA3904">
        <w:trPr>
          <w:trHeight w:val="1127"/>
        </w:trPr>
        <w:tc>
          <w:tcPr>
            <w:tcW w:w="1843" w:type="dxa"/>
            <w:shd w:val="clear" w:color="auto" w:fill="AEEAC1"/>
          </w:tcPr>
          <w:p w14:paraId="0AE67507" w14:textId="77777777" w:rsidR="00CA3904" w:rsidRPr="00FD551E" w:rsidRDefault="00CA3904" w:rsidP="00CC04F4">
            <w:pPr>
              <w:jc w:val="left"/>
              <w:rPr>
                <w:rFonts w:cs="Arial"/>
                <w:b/>
                <w:bCs/>
              </w:rPr>
            </w:pPr>
            <w:r w:rsidRPr="00FD551E">
              <w:rPr>
                <w:rFonts w:cs="Arial"/>
                <w:b/>
                <w:bCs/>
              </w:rPr>
              <w:t>Způsob realizace služby</w:t>
            </w:r>
          </w:p>
        </w:tc>
        <w:tc>
          <w:tcPr>
            <w:tcW w:w="7221" w:type="dxa"/>
          </w:tcPr>
          <w:p w14:paraId="6254FA2A" w14:textId="77777777" w:rsidR="00CA3904" w:rsidRPr="00FD551E" w:rsidRDefault="00CA3904" w:rsidP="00A23437">
            <w:r w:rsidRPr="00FD551E">
              <w:t xml:space="preserve">Službu iniciuje pracovník Objednatele nebo pracovník Poskytovatele prostřednictvím dokumentu Požadavek na změnu (dále jen „PZ“). </w:t>
            </w:r>
          </w:p>
          <w:p w14:paraId="38F5A489" w14:textId="5D42ABBE" w:rsidR="00CA3904" w:rsidRPr="00FD551E" w:rsidRDefault="00CA3904" w:rsidP="00A23437">
            <w:r w:rsidRPr="00FD551E">
              <w:t xml:space="preserve">Podávání PZ a Akceptace PZ (dále jen „AZ“) se řídí metodikou dle Smlouvy. Tato metodika je řízena ze strany Objednatele a může být Objednatelem upravována, aktualizována a dále rozvíjena i v průběhu trvání této Smlouvy. </w:t>
            </w:r>
            <w:r w:rsidR="008D2E9B" w:rsidRPr="00FD551E">
              <w:t>Poskytovatel je povinen případné změny metodiky akceptovat, pokud nedojde k ovlivnění cenových a objemových parametrů této Smlouvy. Pokud by změna metodiky řízení změn tyto parametry Smlouvy ovlivňovala, smluvní strany jsou povinny změny projednat a oboustranně schválit formou dodatku této Smlouvy.</w:t>
            </w:r>
          </w:p>
          <w:p w14:paraId="46244417" w14:textId="5579B3DA" w:rsidR="008D2E9B" w:rsidRPr="00FD551E" w:rsidRDefault="008D2E9B" w:rsidP="008D2E9B">
            <w:pPr>
              <w:spacing w:after="0" w:line="240" w:lineRule="auto"/>
              <w:ind w:right="74"/>
              <w:rPr>
                <w:rFonts w:cs="Arial"/>
              </w:rPr>
            </w:pPr>
          </w:p>
        </w:tc>
      </w:tr>
      <w:tr w:rsidR="00CA3904" w:rsidRPr="00FD551E" w14:paraId="24FEA4BA" w14:textId="77777777" w:rsidTr="00CC04F4">
        <w:trPr>
          <w:trHeight w:val="1605"/>
        </w:trPr>
        <w:tc>
          <w:tcPr>
            <w:tcW w:w="1843" w:type="dxa"/>
            <w:shd w:val="clear" w:color="auto" w:fill="AEEAC1"/>
          </w:tcPr>
          <w:p w14:paraId="714E4050" w14:textId="42B5FCA7" w:rsidR="00CA3904" w:rsidRPr="00FD551E" w:rsidRDefault="00CA3904" w:rsidP="00CC04F4">
            <w:pPr>
              <w:jc w:val="left"/>
              <w:rPr>
                <w:rFonts w:cs="Arial"/>
                <w:b/>
                <w:bCs/>
              </w:rPr>
            </w:pPr>
            <w:r w:rsidRPr="00FD551E">
              <w:rPr>
                <w:rFonts w:cs="Arial"/>
                <w:b/>
                <w:bCs/>
              </w:rPr>
              <w:t xml:space="preserve">Administrativní zajištění služby </w:t>
            </w:r>
          </w:p>
        </w:tc>
        <w:tc>
          <w:tcPr>
            <w:tcW w:w="7221" w:type="dxa"/>
          </w:tcPr>
          <w:p w14:paraId="709FFBFA" w14:textId="77777777" w:rsidR="008D2E9B" w:rsidRPr="00FD551E" w:rsidRDefault="008D2E9B" w:rsidP="00A23437">
            <w:r w:rsidRPr="00FD551E">
              <w:t xml:space="preserve">Objednatel (Garant modulu) na základě zjištěné potřeby změny/rozšíření funkcionality v IS AGIS nebo potřeby dodávky rozšířené služby od Poskytovatele (provozní nebo legislativní potřeba), vyspecifikuje důvod změny, doplní realizační zadání pro Poskytovatele do vzorového formuláře Požadavku na Změnu (PZ) – v elektronické podobě. </w:t>
            </w:r>
          </w:p>
          <w:p w14:paraId="48E3E6C2" w14:textId="77777777" w:rsidR="008D2E9B" w:rsidRPr="00FD551E" w:rsidRDefault="008D2E9B" w:rsidP="00A23437">
            <w:r w:rsidRPr="00FD551E">
              <w:t xml:space="preserve">V PZ Objednatel vyplní položky: </w:t>
            </w:r>
          </w:p>
          <w:p w14:paraId="469AF84C" w14:textId="77777777" w:rsidR="008D2E9B" w:rsidRPr="00FD551E" w:rsidRDefault="008D2E9B" w:rsidP="008D2E9B">
            <w:pPr>
              <w:pStyle w:val="Odstavecseseznamem"/>
              <w:numPr>
                <w:ilvl w:val="0"/>
                <w:numId w:val="29"/>
              </w:numPr>
              <w:spacing w:after="0" w:line="240" w:lineRule="auto"/>
              <w:ind w:right="74"/>
              <w:rPr>
                <w:rFonts w:cs="Arial"/>
              </w:rPr>
            </w:pPr>
            <w:r w:rsidRPr="00FD551E">
              <w:rPr>
                <w:rFonts w:cs="Arial"/>
              </w:rPr>
              <w:t xml:space="preserve">Předmět: stručný název/popis požadavku, </w:t>
            </w:r>
          </w:p>
          <w:p w14:paraId="6E543C36" w14:textId="77777777" w:rsidR="008D2E9B" w:rsidRPr="00FD551E" w:rsidRDefault="008D2E9B" w:rsidP="008D2E9B">
            <w:pPr>
              <w:pStyle w:val="Odstavecseseznamem"/>
              <w:numPr>
                <w:ilvl w:val="0"/>
                <w:numId w:val="29"/>
              </w:numPr>
              <w:spacing w:after="0" w:line="240" w:lineRule="auto"/>
              <w:ind w:right="74"/>
              <w:rPr>
                <w:rFonts w:cs="Arial"/>
              </w:rPr>
            </w:pPr>
            <w:r w:rsidRPr="00FD551E">
              <w:rPr>
                <w:rFonts w:cs="Arial"/>
              </w:rPr>
              <w:t xml:space="preserve">Modul: název SW modulu/komponenty, které se požadavek dotýká, </w:t>
            </w:r>
          </w:p>
          <w:p w14:paraId="26C5EB97" w14:textId="77777777" w:rsidR="008D2E9B" w:rsidRPr="00FD551E" w:rsidRDefault="008D2E9B" w:rsidP="008D2E9B">
            <w:pPr>
              <w:pStyle w:val="Odstavecseseznamem"/>
              <w:numPr>
                <w:ilvl w:val="0"/>
                <w:numId w:val="29"/>
              </w:numPr>
              <w:spacing w:after="0" w:line="240" w:lineRule="auto"/>
              <w:ind w:right="74"/>
              <w:rPr>
                <w:rFonts w:cs="Arial"/>
              </w:rPr>
            </w:pPr>
            <w:r w:rsidRPr="00FD551E">
              <w:rPr>
                <w:rFonts w:cs="Arial"/>
              </w:rPr>
              <w:t xml:space="preserve">Kategorie: Funkcionalita IS, Konzultace, ŠKOLENÍ, Provozní podpora, </w:t>
            </w:r>
          </w:p>
          <w:p w14:paraId="1A993210" w14:textId="77777777" w:rsidR="008D2E9B" w:rsidRPr="00FD551E" w:rsidRDefault="008D2E9B" w:rsidP="008D2E9B">
            <w:pPr>
              <w:pStyle w:val="Odstavecseseznamem"/>
              <w:numPr>
                <w:ilvl w:val="0"/>
                <w:numId w:val="29"/>
              </w:numPr>
              <w:spacing w:after="0" w:line="240" w:lineRule="auto"/>
              <w:ind w:right="74"/>
              <w:rPr>
                <w:rFonts w:cs="Arial"/>
              </w:rPr>
            </w:pPr>
            <w:r w:rsidRPr="00FD551E">
              <w:rPr>
                <w:rFonts w:cs="Arial"/>
              </w:rPr>
              <w:t xml:space="preserve">Priorita: dle důležitosti/ naléhavosti Nízká, Střední, Vysoká, </w:t>
            </w:r>
          </w:p>
          <w:p w14:paraId="77FD99BB" w14:textId="77777777" w:rsidR="008D2E9B" w:rsidRPr="00FD551E" w:rsidRDefault="008D2E9B" w:rsidP="008D2E9B">
            <w:pPr>
              <w:pStyle w:val="Odstavecseseznamem"/>
              <w:numPr>
                <w:ilvl w:val="0"/>
                <w:numId w:val="29"/>
              </w:numPr>
              <w:spacing w:after="0" w:line="240" w:lineRule="auto"/>
              <w:ind w:right="74"/>
              <w:rPr>
                <w:rFonts w:cs="Arial"/>
              </w:rPr>
            </w:pPr>
            <w:r w:rsidRPr="00FD551E">
              <w:rPr>
                <w:rFonts w:cs="Arial"/>
              </w:rPr>
              <w:t xml:space="preserve">Žádající: Jméno, Příjmení, Garant/zadavatele PZ, </w:t>
            </w:r>
          </w:p>
          <w:p w14:paraId="27D28C40" w14:textId="77777777" w:rsidR="008D2E9B" w:rsidRPr="00FD551E" w:rsidRDefault="008D2E9B" w:rsidP="008D2E9B">
            <w:pPr>
              <w:pStyle w:val="Odstavecseseznamem"/>
              <w:numPr>
                <w:ilvl w:val="0"/>
                <w:numId w:val="29"/>
              </w:numPr>
              <w:spacing w:after="0" w:line="240" w:lineRule="auto"/>
              <w:ind w:right="74"/>
              <w:rPr>
                <w:rFonts w:cs="Arial"/>
              </w:rPr>
            </w:pPr>
            <w:r w:rsidRPr="00FD551E">
              <w:rPr>
                <w:rFonts w:cs="Arial"/>
              </w:rPr>
              <w:t xml:space="preserve">Datum zadání, </w:t>
            </w:r>
          </w:p>
          <w:p w14:paraId="4CE2D32E" w14:textId="628B1971" w:rsidR="008D2E9B" w:rsidRPr="00FD551E" w:rsidRDefault="008D2E9B" w:rsidP="008D2E9B">
            <w:pPr>
              <w:pStyle w:val="Odstavecseseznamem"/>
              <w:numPr>
                <w:ilvl w:val="0"/>
                <w:numId w:val="29"/>
              </w:numPr>
              <w:spacing w:after="0" w:line="240" w:lineRule="auto"/>
              <w:ind w:right="74"/>
              <w:rPr>
                <w:rFonts w:cs="Arial"/>
              </w:rPr>
            </w:pPr>
            <w:r w:rsidRPr="00FD551E">
              <w:rPr>
                <w:rFonts w:cs="Arial"/>
              </w:rPr>
              <w:t>Požadované datum produktivního st</w:t>
            </w:r>
            <w:r w:rsidR="00763AEB">
              <w:rPr>
                <w:rFonts w:cs="Arial"/>
              </w:rPr>
              <w:t>artu – užívání realizovaného PZ</w:t>
            </w:r>
            <w:r w:rsidRPr="00FD551E">
              <w:rPr>
                <w:rFonts w:cs="Arial"/>
              </w:rPr>
              <w:t xml:space="preserve">. </w:t>
            </w:r>
          </w:p>
          <w:p w14:paraId="34CC6F97" w14:textId="6805A7EB" w:rsidR="008D2E9B" w:rsidRPr="00FD551E" w:rsidRDefault="008D2E9B" w:rsidP="00A23437">
            <w:r w:rsidRPr="00FD551E">
              <w:t xml:space="preserve">Vedoucí Projektu (dále jen VP) na straně Objednatele, na základě odsouhlasení PZ přímým nadřízeným garanta (ředitel odboru, dále jen ŘO) odsouhlasí zadání PZ, zaeviduje PZ do seznamu PZ a zašle e-mailem na zodpovědného Vedoucího projektu (VP) Poskytovatele. </w:t>
            </w:r>
          </w:p>
          <w:p w14:paraId="21E1D291" w14:textId="77777777" w:rsidR="008D2E9B" w:rsidRPr="00FD551E" w:rsidRDefault="008D2E9B" w:rsidP="00A23437">
            <w:r w:rsidRPr="00FD551E">
              <w:t>Vedoucí projektu Poskytovatele, vedoucí týmu, zodpovědný analytik doplní v PZ kapitoly:</w:t>
            </w:r>
          </w:p>
          <w:p w14:paraId="6F57CEED" w14:textId="45E1142B" w:rsidR="008D2E9B" w:rsidRPr="00FD551E" w:rsidRDefault="008D2E9B" w:rsidP="008D2E9B">
            <w:pPr>
              <w:pStyle w:val="Odstavecseseznamem"/>
              <w:numPr>
                <w:ilvl w:val="0"/>
                <w:numId w:val="30"/>
              </w:numPr>
              <w:spacing w:after="0" w:line="240" w:lineRule="auto"/>
              <w:ind w:right="74"/>
              <w:rPr>
                <w:rFonts w:cs="Arial"/>
              </w:rPr>
            </w:pPr>
            <w:r w:rsidRPr="00FD551E">
              <w:rPr>
                <w:rFonts w:cs="Arial"/>
              </w:rPr>
              <w:t xml:space="preserve">Popis změny (případná doplnění, upřesnění realizačního </w:t>
            </w:r>
            <w:proofErr w:type="gramStart"/>
            <w:r w:rsidRPr="00FD551E">
              <w:rPr>
                <w:rFonts w:cs="Arial"/>
              </w:rPr>
              <w:t>zadání</w:t>
            </w:r>
            <w:proofErr w:type="gramEnd"/>
            <w:r w:rsidRPr="00FD551E">
              <w:rPr>
                <w:rFonts w:cs="Arial"/>
              </w:rPr>
              <w:t xml:space="preserve"> resp. dotazy k zadání)</w:t>
            </w:r>
          </w:p>
          <w:p w14:paraId="16AA5A87" w14:textId="45DA6BCA" w:rsidR="008D2E9B" w:rsidRPr="00FD551E" w:rsidRDefault="008D2E9B" w:rsidP="008D2E9B">
            <w:pPr>
              <w:pStyle w:val="Odstavecseseznamem"/>
              <w:numPr>
                <w:ilvl w:val="0"/>
                <w:numId w:val="30"/>
              </w:numPr>
              <w:spacing w:after="0" w:line="240" w:lineRule="auto"/>
              <w:ind w:right="74"/>
              <w:rPr>
                <w:rFonts w:cs="Arial"/>
              </w:rPr>
            </w:pPr>
            <w:r w:rsidRPr="00FD551E">
              <w:rPr>
                <w:rFonts w:cs="Arial"/>
              </w:rPr>
              <w:t>Posouzení požadavku/problému (analýza dopadů na ostatní projekty/moduly)</w:t>
            </w:r>
          </w:p>
          <w:p w14:paraId="205FAD69" w14:textId="7ABDCE4C" w:rsidR="008D2E9B" w:rsidRPr="00FD551E" w:rsidRDefault="008D2E9B" w:rsidP="008D2E9B">
            <w:pPr>
              <w:pStyle w:val="Odstavecseseznamem"/>
              <w:numPr>
                <w:ilvl w:val="0"/>
                <w:numId w:val="30"/>
              </w:numPr>
              <w:spacing w:after="0" w:line="240" w:lineRule="auto"/>
              <w:ind w:right="74"/>
              <w:rPr>
                <w:rFonts w:cs="Arial"/>
              </w:rPr>
            </w:pPr>
            <w:r w:rsidRPr="00FD551E">
              <w:rPr>
                <w:rFonts w:cs="Arial"/>
              </w:rPr>
              <w:t xml:space="preserve">Požadavky na zdroje (tým) /kapacity (hodiny) </w:t>
            </w:r>
          </w:p>
          <w:p w14:paraId="118C49BF" w14:textId="6017DD25" w:rsidR="008D2E9B" w:rsidRDefault="008D2E9B" w:rsidP="008D2E9B">
            <w:pPr>
              <w:pStyle w:val="Odstavecseseznamem"/>
              <w:numPr>
                <w:ilvl w:val="0"/>
                <w:numId w:val="30"/>
              </w:numPr>
              <w:spacing w:after="0" w:line="240" w:lineRule="auto"/>
              <w:ind w:right="74"/>
              <w:rPr>
                <w:rFonts w:cs="Arial"/>
              </w:rPr>
            </w:pPr>
            <w:r w:rsidRPr="00FD551E">
              <w:rPr>
                <w:rFonts w:cs="Arial"/>
              </w:rPr>
              <w:t>Doporučený postup/harmonogram implementace</w:t>
            </w:r>
          </w:p>
          <w:p w14:paraId="2A7BE2A2" w14:textId="6DB23571" w:rsidR="001F2626" w:rsidRPr="00FD551E" w:rsidRDefault="001F2626" w:rsidP="008D2E9B">
            <w:pPr>
              <w:pStyle w:val="Odstavecseseznamem"/>
              <w:numPr>
                <w:ilvl w:val="0"/>
                <w:numId w:val="30"/>
              </w:numPr>
              <w:spacing w:after="0" w:line="240" w:lineRule="auto"/>
              <w:ind w:right="74"/>
              <w:rPr>
                <w:rFonts w:cs="Arial"/>
              </w:rPr>
            </w:pPr>
            <w:r>
              <w:rPr>
                <w:rFonts w:cs="Arial"/>
              </w:rPr>
              <w:t>Pracnost realizace PZ (v rozlišení na hodiny)</w:t>
            </w:r>
          </w:p>
          <w:p w14:paraId="4DF5EB7E" w14:textId="77777777" w:rsidR="008D2E9B" w:rsidRPr="00FD551E" w:rsidRDefault="008D2E9B" w:rsidP="00A23437">
            <w:r w:rsidRPr="00FD551E">
              <w:t xml:space="preserve">Do položky Akceptovaný termín předání k testům: návrh realistického realizačního termínu (i s ohledem na požadovaný termín realizace) pro předání PZ k testům pro Objednatele. VP Poskytovatele zašle doplněný/ohodnocený PZ e-mailem zpět k příslušnému VP Objednatele. Maximální doba odeslání oceněného PZ je do </w:t>
            </w:r>
            <w:proofErr w:type="gramStart"/>
            <w:r w:rsidRPr="00FD551E">
              <w:t>5-ti</w:t>
            </w:r>
            <w:proofErr w:type="gramEnd"/>
            <w:r w:rsidRPr="00FD551E">
              <w:t xml:space="preserve"> pracovních dnů od obdržení PZ emailem VP poskytovatele, případně na emailovou adresu odsouhlasenou VP Poskytovatele i Dodavatele. </w:t>
            </w:r>
          </w:p>
          <w:p w14:paraId="6E582912" w14:textId="5B188C5F" w:rsidR="008D2E9B" w:rsidRPr="00FD551E" w:rsidRDefault="008D2E9B" w:rsidP="00A23437">
            <w:r w:rsidRPr="00FD551E">
              <w:t xml:space="preserve">VP Objednatele s ŘO posoudí doplněný/ohodnocený PZ nastavením statusu ve formuláři PZ na Schváleno a doplněním termínu schválení k realizaci do položky Datum schválení k realizaci ukončuje elektronický proces zadávání a schválení PZ a potvrzuje povolení/pokyn k realizaci pro Poskytovatele, kterému zasílá e-mailem elektronicky schválený PZ v konečné schválené formě, která Poskytovateli slouží jako objednávka a Poskytovatel zahájí řešení PZ ve shodě s harmonogramem řešení, který je uveden ve schváleném PZ. </w:t>
            </w:r>
            <w:r w:rsidR="001F2626">
              <w:t>Pouze na základě schváleného PZ je Poskytovatel oprávněn čerpat hodiny z celkového objemu stanoveného pro tuto službu.</w:t>
            </w:r>
          </w:p>
          <w:p w14:paraId="57CDFB7E" w14:textId="0BC24C4D" w:rsidR="00CA3904" w:rsidRDefault="008D2E9B" w:rsidP="00A23437">
            <w:r w:rsidRPr="00FD551E">
              <w:t>Výsledky Poskytovatelem předaného plnění budou akceptovány Objednatelem na základě příslušné akceptační procedury, a podmínek definovaných v daném konkrétním PZ.</w:t>
            </w:r>
            <w:r w:rsidR="001F2626">
              <w:t xml:space="preserve"> Pouze na základě úspěšné akceptace je Poskytovatel oprávněn Objednateli vyfakturovat čerpání v rozsahu stanoveném schváleným PZ. </w:t>
            </w:r>
          </w:p>
          <w:p w14:paraId="62064129" w14:textId="1D145B00" w:rsidR="001F2626" w:rsidRPr="00FD551E" w:rsidRDefault="001F2626" w:rsidP="00A23437">
            <w:r>
              <w:t xml:space="preserve">Poskytovatel je po celou dobu trvání zakázky povinen vést Přehled čerpání hodin, který budou uceleným způsobem poskytovat přehled o aktuálním a souhrnném stavu čerpání kapacit v rámci této služby. </w:t>
            </w:r>
          </w:p>
        </w:tc>
      </w:tr>
      <w:tr w:rsidR="00CA3904" w:rsidRPr="00FD551E" w14:paraId="308ABE9B" w14:textId="77777777" w:rsidTr="00CC04F4">
        <w:trPr>
          <w:trHeight w:val="1014"/>
        </w:trPr>
        <w:tc>
          <w:tcPr>
            <w:tcW w:w="1843" w:type="dxa"/>
            <w:shd w:val="clear" w:color="auto" w:fill="AEEAC1"/>
          </w:tcPr>
          <w:p w14:paraId="58023D73" w14:textId="77777777" w:rsidR="00CA3904" w:rsidRPr="00FD551E" w:rsidRDefault="00CA3904" w:rsidP="00CC04F4">
            <w:pPr>
              <w:jc w:val="left"/>
              <w:rPr>
                <w:rFonts w:cs="Arial"/>
                <w:b/>
                <w:bCs/>
              </w:rPr>
            </w:pPr>
            <w:r w:rsidRPr="00FD551E">
              <w:rPr>
                <w:rFonts w:cs="Arial"/>
                <w:b/>
                <w:bCs/>
              </w:rPr>
              <w:t>Metriky</w:t>
            </w:r>
          </w:p>
        </w:tc>
        <w:tc>
          <w:tcPr>
            <w:tcW w:w="7221" w:type="dxa"/>
          </w:tcPr>
          <w:p w14:paraId="68FC425C" w14:textId="27B1BAD1" w:rsidR="00CA3904" w:rsidRPr="00FD551E" w:rsidRDefault="00A23437" w:rsidP="00CC04F4">
            <w:pPr>
              <w:spacing w:after="0" w:line="240" w:lineRule="auto"/>
              <w:ind w:right="74"/>
              <w:rPr>
                <w:rFonts w:cs="Arial"/>
              </w:rPr>
            </w:pPr>
            <w:r w:rsidRPr="00FD551E">
              <w:rPr>
                <w:rFonts w:cs="Arial"/>
              </w:rPr>
              <w:t>Dodržení termínů, rozsahu a kvality požadovaných změn</w:t>
            </w:r>
            <w:r w:rsidR="0087710F" w:rsidRPr="00FD551E">
              <w:rPr>
                <w:rFonts w:cs="Arial"/>
              </w:rPr>
              <w:t xml:space="preserve"> – dle metodiky řízení změn a parametrů schváleného PZ</w:t>
            </w:r>
          </w:p>
        </w:tc>
      </w:tr>
      <w:tr w:rsidR="00CA3904" w:rsidRPr="00FD551E" w14:paraId="119F1025" w14:textId="77777777" w:rsidTr="00CC04F4">
        <w:trPr>
          <w:trHeight w:val="745"/>
        </w:trPr>
        <w:tc>
          <w:tcPr>
            <w:tcW w:w="1843" w:type="dxa"/>
            <w:shd w:val="clear" w:color="auto" w:fill="AEEAC1"/>
          </w:tcPr>
          <w:p w14:paraId="55BF0B76" w14:textId="77777777" w:rsidR="00CA3904" w:rsidRPr="00FD551E" w:rsidRDefault="00CA3904" w:rsidP="00CC04F4">
            <w:pPr>
              <w:jc w:val="left"/>
              <w:rPr>
                <w:rFonts w:cs="Arial"/>
                <w:b/>
                <w:bCs/>
              </w:rPr>
            </w:pPr>
            <w:r w:rsidRPr="00FD551E">
              <w:rPr>
                <w:rFonts w:cs="Arial"/>
                <w:b/>
                <w:bCs/>
              </w:rPr>
              <w:t>Minimální hodnoty</w:t>
            </w:r>
          </w:p>
        </w:tc>
        <w:tc>
          <w:tcPr>
            <w:tcW w:w="7221" w:type="dxa"/>
          </w:tcPr>
          <w:p w14:paraId="1D278ED4" w14:textId="52DF5B8A" w:rsidR="00CA3904" w:rsidRPr="00FD551E" w:rsidRDefault="008509BB" w:rsidP="00A23437">
            <w:pPr>
              <w:spacing w:after="0" w:line="240" w:lineRule="auto"/>
              <w:ind w:right="74"/>
              <w:rPr>
                <w:rFonts w:cs="Arial"/>
              </w:rPr>
            </w:pPr>
            <w:r>
              <w:rPr>
                <w:rFonts w:cs="Arial"/>
              </w:rPr>
              <w:t>Dle metodiky řízení změn a parametrů schváleného PZ</w:t>
            </w:r>
          </w:p>
        </w:tc>
      </w:tr>
      <w:tr w:rsidR="00CA3904" w:rsidRPr="00FD551E" w14:paraId="1403D886" w14:textId="77777777" w:rsidTr="00CC04F4">
        <w:trPr>
          <w:trHeight w:val="945"/>
        </w:trPr>
        <w:tc>
          <w:tcPr>
            <w:tcW w:w="1843" w:type="dxa"/>
            <w:shd w:val="clear" w:color="auto" w:fill="AEEAC1"/>
          </w:tcPr>
          <w:p w14:paraId="1E3B069A" w14:textId="77777777" w:rsidR="00CA3904" w:rsidRPr="00FD551E" w:rsidRDefault="00CA3904" w:rsidP="00CC04F4">
            <w:pPr>
              <w:jc w:val="left"/>
              <w:rPr>
                <w:rFonts w:cs="Arial"/>
                <w:b/>
                <w:bCs/>
              </w:rPr>
            </w:pPr>
            <w:r w:rsidRPr="00FD551E">
              <w:rPr>
                <w:rFonts w:cs="Arial"/>
                <w:b/>
                <w:bCs/>
              </w:rPr>
              <w:t>Dostupnost služby</w:t>
            </w:r>
          </w:p>
        </w:tc>
        <w:tc>
          <w:tcPr>
            <w:tcW w:w="7221" w:type="dxa"/>
          </w:tcPr>
          <w:p w14:paraId="59790D66" w14:textId="3B28BBBE" w:rsidR="00CA3904" w:rsidRPr="00FD551E" w:rsidRDefault="0087710F" w:rsidP="0087710F">
            <w:pPr>
              <w:spacing w:after="0" w:line="240" w:lineRule="auto"/>
              <w:ind w:right="74"/>
              <w:rPr>
                <w:rFonts w:cs="Arial"/>
              </w:rPr>
            </w:pPr>
            <w:r w:rsidRPr="00FD551E">
              <w:rPr>
                <w:rFonts w:cs="Arial"/>
              </w:rPr>
              <w:t xml:space="preserve">V pracovní dny od 8:00 do 16:30 hodin specializovanými pracovníky Poskytovatele, potřebnými pro analýzu a realizaci daného PZ </w:t>
            </w:r>
          </w:p>
        </w:tc>
      </w:tr>
      <w:tr w:rsidR="00CA3904" w:rsidRPr="00FD551E" w14:paraId="236055F3" w14:textId="77777777" w:rsidTr="00CC04F4">
        <w:trPr>
          <w:trHeight w:val="550"/>
        </w:trPr>
        <w:tc>
          <w:tcPr>
            <w:tcW w:w="1843" w:type="dxa"/>
            <w:shd w:val="clear" w:color="auto" w:fill="AEEAC1"/>
          </w:tcPr>
          <w:p w14:paraId="729657AE" w14:textId="0C3BF336" w:rsidR="00CA3904" w:rsidRPr="00FD551E" w:rsidRDefault="00E12E43" w:rsidP="00CC04F4">
            <w:pPr>
              <w:jc w:val="left"/>
              <w:rPr>
                <w:rFonts w:cs="Arial"/>
                <w:b/>
                <w:bCs/>
              </w:rPr>
            </w:pPr>
            <w:r>
              <w:rPr>
                <w:rFonts w:cs="Arial"/>
                <w:b/>
                <w:bCs/>
              </w:rPr>
              <w:t>Předpokládaný r</w:t>
            </w:r>
            <w:r w:rsidR="00CA3904" w:rsidRPr="00FD551E">
              <w:rPr>
                <w:rFonts w:cs="Arial"/>
                <w:b/>
                <w:bCs/>
              </w:rPr>
              <w:t>ozsah poskytované služby</w:t>
            </w:r>
          </w:p>
        </w:tc>
        <w:tc>
          <w:tcPr>
            <w:tcW w:w="7221" w:type="dxa"/>
          </w:tcPr>
          <w:p w14:paraId="0CAEA799" w14:textId="72EE1FCD" w:rsidR="00CA3904" w:rsidRPr="00FD551E" w:rsidRDefault="009A29D9" w:rsidP="001F2626">
            <w:pPr>
              <w:spacing w:after="0" w:line="240" w:lineRule="auto"/>
              <w:ind w:right="74"/>
              <w:jc w:val="left"/>
              <w:rPr>
                <w:rFonts w:cs="Arial"/>
              </w:rPr>
            </w:pPr>
            <w:r>
              <w:rPr>
                <w:rFonts w:cs="Arial"/>
                <w:b/>
              </w:rPr>
              <w:t>6</w:t>
            </w:r>
            <w:r w:rsidR="001F2626" w:rsidRPr="001F2626">
              <w:rPr>
                <w:rFonts w:cs="Arial"/>
                <w:b/>
              </w:rPr>
              <w:t xml:space="preserve"> 000 hodin ročně</w:t>
            </w:r>
            <w:r w:rsidR="001F2626">
              <w:rPr>
                <w:rFonts w:cs="Arial"/>
              </w:rPr>
              <w:t xml:space="preserve">, tj. </w:t>
            </w:r>
            <w:r w:rsidR="008509BB">
              <w:rPr>
                <w:rFonts w:cs="Arial"/>
              </w:rPr>
              <w:t>2</w:t>
            </w:r>
            <w:r>
              <w:rPr>
                <w:rFonts w:cs="Arial"/>
              </w:rPr>
              <w:t>4</w:t>
            </w:r>
            <w:r w:rsidR="0087710F" w:rsidRPr="00FD551E">
              <w:rPr>
                <w:rFonts w:cs="Arial"/>
              </w:rPr>
              <w:t xml:space="preserve"> </w:t>
            </w:r>
            <w:r w:rsidR="008509BB">
              <w:rPr>
                <w:rFonts w:cs="Arial"/>
              </w:rPr>
              <w:t>0</w:t>
            </w:r>
            <w:r w:rsidR="0087710F" w:rsidRPr="00FD551E">
              <w:rPr>
                <w:rFonts w:cs="Arial"/>
              </w:rPr>
              <w:t xml:space="preserve">00 hodin za dobu </w:t>
            </w:r>
            <w:r w:rsidR="008509BB">
              <w:rPr>
                <w:rFonts w:cs="Arial"/>
              </w:rPr>
              <w:t xml:space="preserve">4 </w:t>
            </w:r>
            <w:r>
              <w:rPr>
                <w:rFonts w:cs="Arial"/>
              </w:rPr>
              <w:t>let</w:t>
            </w:r>
            <w:r w:rsidR="001F2626">
              <w:rPr>
                <w:rFonts w:cs="Arial"/>
              </w:rPr>
              <w:t>.</w:t>
            </w:r>
          </w:p>
        </w:tc>
      </w:tr>
      <w:tr w:rsidR="00CA3904" w:rsidRPr="00FD551E" w14:paraId="4C84BA19" w14:textId="77777777" w:rsidTr="00CC04F4">
        <w:trPr>
          <w:trHeight w:val="409"/>
        </w:trPr>
        <w:tc>
          <w:tcPr>
            <w:tcW w:w="1843" w:type="dxa"/>
            <w:shd w:val="clear" w:color="auto" w:fill="AEEAC1"/>
          </w:tcPr>
          <w:p w14:paraId="1CDB7CA7" w14:textId="77777777" w:rsidR="00CA3904" w:rsidRPr="00FD551E" w:rsidRDefault="00CA3904" w:rsidP="00CC04F4">
            <w:pPr>
              <w:jc w:val="left"/>
              <w:rPr>
                <w:rFonts w:cs="Arial"/>
                <w:b/>
                <w:bCs/>
              </w:rPr>
            </w:pPr>
            <w:r w:rsidRPr="00FD551E">
              <w:rPr>
                <w:rFonts w:cs="Arial"/>
                <w:b/>
                <w:bCs/>
              </w:rPr>
              <w:t>Reporting služby</w:t>
            </w:r>
          </w:p>
        </w:tc>
        <w:tc>
          <w:tcPr>
            <w:tcW w:w="7221" w:type="dxa"/>
          </w:tcPr>
          <w:p w14:paraId="30F3D00A" w14:textId="77777777" w:rsidR="00CA3904" w:rsidRDefault="0087710F" w:rsidP="00CC04F4">
            <w:pPr>
              <w:spacing w:after="0" w:line="240" w:lineRule="auto"/>
              <w:ind w:right="74"/>
              <w:jc w:val="left"/>
              <w:rPr>
                <w:rFonts w:cs="Arial"/>
              </w:rPr>
            </w:pPr>
            <w:r w:rsidRPr="00FD551E">
              <w:rPr>
                <w:rFonts w:cs="Arial"/>
              </w:rPr>
              <w:t>Formuláře: Požadavek na změnu, Akceptace požadavku na změnu</w:t>
            </w:r>
          </w:p>
          <w:p w14:paraId="2B49E28B" w14:textId="2E9B2EE0" w:rsidR="001F2626" w:rsidRPr="00FD551E" w:rsidRDefault="001F2626" w:rsidP="00CC04F4">
            <w:pPr>
              <w:spacing w:after="0" w:line="240" w:lineRule="auto"/>
              <w:ind w:right="74"/>
              <w:jc w:val="left"/>
              <w:rPr>
                <w:rFonts w:cs="Arial"/>
              </w:rPr>
            </w:pPr>
            <w:r>
              <w:rPr>
                <w:rFonts w:cs="Arial"/>
              </w:rPr>
              <w:t>Report: Přehled čerpání hodin</w:t>
            </w:r>
          </w:p>
        </w:tc>
      </w:tr>
      <w:tr w:rsidR="00CA3904" w:rsidRPr="00FD551E" w14:paraId="4586CEC1" w14:textId="77777777" w:rsidTr="00CC04F4">
        <w:trPr>
          <w:trHeight w:val="315"/>
        </w:trPr>
        <w:tc>
          <w:tcPr>
            <w:tcW w:w="1843" w:type="dxa"/>
            <w:shd w:val="clear" w:color="auto" w:fill="AEEAC1"/>
          </w:tcPr>
          <w:p w14:paraId="1AE4357D" w14:textId="77777777" w:rsidR="00CA3904" w:rsidRPr="00FD551E" w:rsidRDefault="00CA3904" w:rsidP="00CC04F4">
            <w:pPr>
              <w:jc w:val="left"/>
              <w:rPr>
                <w:rFonts w:cs="Arial"/>
                <w:b/>
                <w:bCs/>
              </w:rPr>
            </w:pPr>
            <w:r w:rsidRPr="00FD551E">
              <w:rPr>
                <w:rFonts w:cs="Arial"/>
                <w:b/>
                <w:bCs/>
              </w:rPr>
              <w:t>Smluvní pokuta</w:t>
            </w:r>
          </w:p>
        </w:tc>
        <w:tc>
          <w:tcPr>
            <w:tcW w:w="7221" w:type="dxa"/>
          </w:tcPr>
          <w:p w14:paraId="0538F218" w14:textId="7C78D85C" w:rsidR="0087710F" w:rsidRPr="00FD551E" w:rsidRDefault="0087710F" w:rsidP="0087710F">
            <w:pPr>
              <w:spacing w:line="240" w:lineRule="auto"/>
              <w:rPr>
                <w:rFonts w:cs="Arial"/>
              </w:rPr>
            </w:pPr>
            <w:r w:rsidRPr="00FD551E">
              <w:rPr>
                <w:rFonts w:cs="Arial"/>
              </w:rPr>
              <w:t xml:space="preserve">Výše smluvní pokuty je stanovena na </w:t>
            </w:r>
            <w:proofErr w:type="gramStart"/>
            <w:r w:rsidRPr="00FD551E">
              <w:rPr>
                <w:rFonts w:cs="Arial"/>
              </w:rPr>
              <w:t>10.000,-</w:t>
            </w:r>
            <w:proofErr w:type="gramEnd"/>
            <w:r w:rsidRPr="00FD551E">
              <w:rPr>
                <w:rFonts w:cs="Arial"/>
              </w:rPr>
              <w:t xml:space="preserve"> Kč za každý den prodlení se zasláním ohodnoceného a posouzeného PZ ze strany Poskytovatele.</w:t>
            </w:r>
          </w:p>
          <w:p w14:paraId="3FE4BF2C" w14:textId="4CD2048C" w:rsidR="00CA3904" w:rsidRPr="00FD551E" w:rsidRDefault="0087710F" w:rsidP="0087710F">
            <w:pPr>
              <w:spacing w:line="240" w:lineRule="auto"/>
              <w:rPr>
                <w:rFonts w:cs="Arial"/>
              </w:rPr>
            </w:pPr>
            <w:r w:rsidRPr="00FD551E">
              <w:rPr>
                <w:rFonts w:cs="Arial"/>
              </w:rPr>
              <w:t xml:space="preserve">Výše smluvní pokuty je stanovena na </w:t>
            </w:r>
            <w:proofErr w:type="gramStart"/>
            <w:r w:rsidRPr="00FD551E">
              <w:rPr>
                <w:rFonts w:cs="Arial"/>
              </w:rPr>
              <w:t>10.000,-</w:t>
            </w:r>
            <w:proofErr w:type="gramEnd"/>
            <w:r w:rsidRPr="00FD551E">
              <w:rPr>
                <w:rFonts w:cs="Arial"/>
              </w:rPr>
              <w:t xml:space="preserve"> Kč za každý den prodlení s nesplněním termínů realizace pro jednotli</w:t>
            </w:r>
            <w:r w:rsidR="001F2626">
              <w:rPr>
                <w:rFonts w:cs="Arial"/>
              </w:rPr>
              <w:t xml:space="preserve">vý PZ ze strany Poskytovatele. </w:t>
            </w:r>
          </w:p>
        </w:tc>
      </w:tr>
    </w:tbl>
    <w:tbl>
      <w:tblPr>
        <w:tblStyle w:val="Mkatabulky"/>
        <w:tblW w:w="9057" w:type="dxa"/>
        <w:tblInd w:w="9" w:type="dxa"/>
        <w:tblLayout w:type="fixed"/>
        <w:tblLook w:val="04A0" w:firstRow="1" w:lastRow="0" w:firstColumn="1" w:lastColumn="0" w:noHBand="0" w:noVBand="1"/>
      </w:tblPr>
      <w:tblGrid>
        <w:gridCol w:w="2497"/>
        <w:gridCol w:w="2253"/>
        <w:gridCol w:w="2133"/>
        <w:gridCol w:w="2174"/>
      </w:tblGrid>
      <w:tr w:rsidR="00CA3904" w:rsidRPr="00FD551E" w14:paraId="7BF6EC65" w14:textId="77777777" w:rsidTr="00CC04F4">
        <w:trPr>
          <w:cantSplit/>
          <w:trHeight w:val="408"/>
        </w:trPr>
        <w:tc>
          <w:tcPr>
            <w:tcW w:w="9057" w:type="dxa"/>
            <w:gridSpan w:val="4"/>
            <w:tcBorders>
              <w:bottom w:val="single" w:sz="4" w:space="0" w:color="auto"/>
            </w:tcBorders>
            <w:shd w:val="clear" w:color="auto" w:fill="006600"/>
            <w:vAlign w:val="center"/>
          </w:tcPr>
          <w:p w14:paraId="5FB69ECC" w14:textId="77777777" w:rsidR="00CA3904" w:rsidRPr="00FD551E" w:rsidRDefault="00CA3904" w:rsidP="00CC04F4">
            <w:pPr>
              <w:spacing w:before="0" w:after="0"/>
              <w:jc w:val="left"/>
            </w:pPr>
            <w:r w:rsidRPr="00FD551E">
              <w:t>Cena služby</w:t>
            </w:r>
          </w:p>
        </w:tc>
      </w:tr>
      <w:tr w:rsidR="00CA3904" w:rsidRPr="00FD551E" w14:paraId="21835926" w14:textId="77777777" w:rsidTr="00CC04F4">
        <w:trPr>
          <w:cantSplit/>
          <w:trHeight w:val="410"/>
        </w:trPr>
        <w:tc>
          <w:tcPr>
            <w:tcW w:w="2497" w:type="dxa"/>
            <w:tcBorders>
              <w:bottom w:val="single" w:sz="4" w:space="0" w:color="auto"/>
            </w:tcBorders>
            <w:shd w:val="clear" w:color="auto" w:fill="AEEAC1"/>
            <w:vAlign w:val="center"/>
          </w:tcPr>
          <w:p w14:paraId="4AD7DB4C" w14:textId="77777777" w:rsidR="00CA3904" w:rsidRPr="00FD551E" w:rsidRDefault="00CA3904" w:rsidP="00CC04F4">
            <w:pPr>
              <w:spacing w:before="0" w:after="0"/>
              <w:jc w:val="left"/>
            </w:pPr>
            <w:r w:rsidRPr="00FD551E">
              <w:t>Položka</w:t>
            </w:r>
          </w:p>
        </w:tc>
        <w:tc>
          <w:tcPr>
            <w:tcW w:w="2253" w:type="dxa"/>
            <w:tcBorders>
              <w:bottom w:val="single" w:sz="4" w:space="0" w:color="auto"/>
            </w:tcBorders>
            <w:shd w:val="clear" w:color="auto" w:fill="AEEAC1"/>
            <w:vAlign w:val="center"/>
          </w:tcPr>
          <w:p w14:paraId="5604CF25" w14:textId="77777777" w:rsidR="00CA3904" w:rsidRPr="00FD551E" w:rsidRDefault="00CA3904" w:rsidP="00DD458A">
            <w:pPr>
              <w:spacing w:before="0" w:after="0"/>
              <w:jc w:val="center"/>
            </w:pPr>
            <w:r w:rsidRPr="00FD551E">
              <w:t>Cena v Kč bez DPH</w:t>
            </w:r>
          </w:p>
        </w:tc>
        <w:tc>
          <w:tcPr>
            <w:tcW w:w="2133" w:type="dxa"/>
            <w:tcBorders>
              <w:bottom w:val="single" w:sz="4" w:space="0" w:color="auto"/>
            </w:tcBorders>
            <w:shd w:val="clear" w:color="auto" w:fill="AEEAC1"/>
            <w:vAlign w:val="center"/>
          </w:tcPr>
          <w:p w14:paraId="118BA4CC" w14:textId="77777777" w:rsidR="00CA3904" w:rsidRPr="00FD551E" w:rsidRDefault="00CA3904" w:rsidP="00DD458A">
            <w:pPr>
              <w:spacing w:before="0" w:after="0"/>
              <w:jc w:val="center"/>
            </w:pPr>
            <w:r w:rsidRPr="00FD551E">
              <w:t xml:space="preserve">DPH </w:t>
            </w:r>
            <w:proofErr w:type="gramStart"/>
            <w:r w:rsidRPr="00FD551E">
              <w:t>21%</w:t>
            </w:r>
            <w:proofErr w:type="gramEnd"/>
          </w:p>
        </w:tc>
        <w:tc>
          <w:tcPr>
            <w:tcW w:w="2174" w:type="dxa"/>
            <w:tcBorders>
              <w:bottom w:val="single" w:sz="4" w:space="0" w:color="auto"/>
            </w:tcBorders>
            <w:shd w:val="clear" w:color="auto" w:fill="AEEAC1"/>
            <w:vAlign w:val="center"/>
          </w:tcPr>
          <w:p w14:paraId="353DDE3B" w14:textId="77777777" w:rsidR="00CA3904" w:rsidRPr="00FD551E" w:rsidRDefault="00CA3904" w:rsidP="00DD458A">
            <w:pPr>
              <w:spacing w:before="0" w:after="0"/>
              <w:jc w:val="center"/>
            </w:pPr>
            <w:r w:rsidRPr="00FD551E">
              <w:t>Cena v Kč s DPH</w:t>
            </w:r>
          </w:p>
        </w:tc>
      </w:tr>
      <w:tr w:rsidR="00CA3904" w:rsidRPr="00FD551E" w14:paraId="019BB179" w14:textId="77777777" w:rsidTr="001F2626">
        <w:trPr>
          <w:cantSplit/>
          <w:trHeight w:val="666"/>
        </w:trPr>
        <w:tc>
          <w:tcPr>
            <w:tcW w:w="2497" w:type="dxa"/>
            <w:shd w:val="clear" w:color="auto" w:fill="auto"/>
            <w:vAlign w:val="center"/>
          </w:tcPr>
          <w:p w14:paraId="46FFC6DE" w14:textId="594703A4" w:rsidR="00CA3904" w:rsidRPr="00FD551E" w:rsidRDefault="001F2626" w:rsidP="001F2626">
            <w:pPr>
              <w:spacing w:before="0" w:after="0"/>
              <w:jc w:val="left"/>
            </w:pPr>
            <w:r>
              <w:t>C</w:t>
            </w:r>
            <w:r w:rsidR="00CA3904" w:rsidRPr="00FD551E">
              <w:t xml:space="preserve">ena za </w:t>
            </w:r>
            <w:r>
              <w:t>1 hodinu práce pracovníka Poskytovatele</w:t>
            </w:r>
          </w:p>
        </w:tc>
        <w:tc>
          <w:tcPr>
            <w:tcW w:w="2253" w:type="dxa"/>
            <w:shd w:val="clear" w:color="auto" w:fill="auto"/>
            <w:vAlign w:val="center"/>
          </w:tcPr>
          <w:p w14:paraId="5D7D181A" w14:textId="5E7A097B" w:rsidR="00CA3904" w:rsidRPr="00FD551E" w:rsidRDefault="00F40F15" w:rsidP="00DD458A">
            <w:pPr>
              <w:spacing w:before="0" w:after="0"/>
              <w:jc w:val="center"/>
              <w:rPr>
                <w:highlight w:val="yellow"/>
              </w:rP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c>
          <w:tcPr>
            <w:tcW w:w="2133" w:type="dxa"/>
            <w:shd w:val="clear" w:color="auto" w:fill="auto"/>
            <w:vAlign w:val="center"/>
          </w:tcPr>
          <w:p w14:paraId="2312750A" w14:textId="0ACAADBF" w:rsidR="00CA3904" w:rsidRPr="00FD551E" w:rsidRDefault="00F40F15" w:rsidP="00DD458A">
            <w:pPr>
              <w:spacing w:before="0" w:after="0"/>
              <w:jc w:val="center"/>
              <w:rPr>
                <w:highlight w:val="yellow"/>
              </w:rP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c>
          <w:tcPr>
            <w:tcW w:w="2174" w:type="dxa"/>
            <w:shd w:val="clear" w:color="auto" w:fill="auto"/>
            <w:vAlign w:val="center"/>
          </w:tcPr>
          <w:p w14:paraId="1620C113" w14:textId="1C7827BE" w:rsidR="00CA3904" w:rsidRPr="00FD551E" w:rsidRDefault="00F40F15" w:rsidP="00DD458A">
            <w:pPr>
              <w:spacing w:before="0" w:after="0"/>
              <w:jc w:val="center"/>
              <w:rPr>
                <w:highlight w:val="yellow"/>
              </w:rP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r>
    </w:tbl>
    <w:p w14:paraId="4CF431F1" w14:textId="77777777" w:rsidR="00CA3904" w:rsidRPr="00FD551E" w:rsidRDefault="00CA3904" w:rsidP="00CA3904">
      <w:pPr>
        <w:rPr>
          <w:highlight w:val="yellow"/>
        </w:rPr>
      </w:pPr>
    </w:p>
    <w:p w14:paraId="132E8B9E" w14:textId="7D3DACBB" w:rsidR="00CC04F4" w:rsidRPr="00FD551E" w:rsidRDefault="00CC04F4" w:rsidP="00CC04F4">
      <w:pPr>
        <w:pStyle w:val="Nadpis2"/>
        <w:pageBreakBefore/>
      </w:pPr>
      <w:bookmarkStart w:id="11" w:name="_Toc14796097"/>
      <w:r w:rsidRPr="00FD551E">
        <w:t>Služba č. 05 – Konzultace a školení uživatelů</w:t>
      </w:r>
      <w:bookmarkEnd w:id="11"/>
      <w:r w:rsidRPr="00FD551E">
        <w:t xml:space="preserve"> </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3"/>
        <w:gridCol w:w="7221"/>
      </w:tblGrid>
      <w:tr w:rsidR="00CC04F4" w:rsidRPr="00FD551E" w14:paraId="715F945F" w14:textId="77777777" w:rsidTr="00CC04F4">
        <w:trPr>
          <w:trHeight w:val="315"/>
          <w:tblHeader/>
        </w:trPr>
        <w:tc>
          <w:tcPr>
            <w:tcW w:w="1843" w:type="dxa"/>
            <w:shd w:val="clear" w:color="auto" w:fill="006600"/>
            <w:noWrap/>
            <w:vAlign w:val="center"/>
          </w:tcPr>
          <w:p w14:paraId="7BAEE916" w14:textId="77777777" w:rsidR="00CC04F4" w:rsidRPr="00FD551E" w:rsidRDefault="00CC04F4" w:rsidP="00CC04F4">
            <w:pPr>
              <w:rPr>
                <w:rFonts w:cs="Arial"/>
                <w:b/>
              </w:rPr>
            </w:pPr>
            <w:r w:rsidRPr="00FD551E">
              <w:rPr>
                <w:rFonts w:cs="Arial"/>
                <w:b/>
              </w:rPr>
              <w:t>Název služby</w:t>
            </w:r>
          </w:p>
        </w:tc>
        <w:tc>
          <w:tcPr>
            <w:tcW w:w="7221" w:type="dxa"/>
            <w:shd w:val="clear" w:color="auto" w:fill="006600"/>
            <w:vAlign w:val="center"/>
          </w:tcPr>
          <w:p w14:paraId="0030F625" w14:textId="4247FED3" w:rsidR="00CC04F4" w:rsidRPr="00FD551E" w:rsidRDefault="00CC04F4" w:rsidP="00CC04F4">
            <w:pPr>
              <w:rPr>
                <w:rFonts w:cs="Arial"/>
                <w:b/>
              </w:rPr>
            </w:pPr>
            <w:r w:rsidRPr="00FD551E">
              <w:rPr>
                <w:rFonts w:cs="Arial"/>
                <w:b/>
              </w:rPr>
              <w:t>Konzultace a školení uživatelů</w:t>
            </w:r>
          </w:p>
        </w:tc>
      </w:tr>
      <w:tr w:rsidR="00CC04F4" w:rsidRPr="00FD551E" w14:paraId="23801452" w14:textId="77777777" w:rsidTr="00CC04F4">
        <w:trPr>
          <w:trHeight w:val="408"/>
          <w:tblHeader/>
        </w:trPr>
        <w:tc>
          <w:tcPr>
            <w:tcW w:w="1843" w:type="dxa"/>
            <w:tcBorders>
              <w:bottom w:val="single" w:sz="6" w:space="0" w:color="auto"/>
            </w:tcBorders>
            <w:shd w:val="clear" w:color="auto" w:fill="AEEAC1"/>
          </w:tcPr>
          <w:p w14:paraId="7ACC03C9" w14:textId="77777777" w:rsidR="00CC04F4" w:rsidRPr="00FD551E" w:rsidRDefault="00CC04F4" w:rsidP="00CC04F4">
            <w:pPr>
              <w:rPr>
                <w:rFonts w:cs="Arial"/>
                <w:b/>
                <w:bCs/>
              </w:rPr>
            </w:pPr>
            <w:r w:rsidRPr="00FD551E">
              <w:rPr>
                <w:rFonts w:cs="Arial"/>
                <w:b/>
                <w:bCs/>
              </w:rPr>
              <w:t>Skupina služeb</w:t>
            </w:r>
          </w:p>
        </w:tc>
        <w:tc>
          <w:tcPr>
            <w:tcW w:w="7221" w:type="dxa"/>
            <w:shd w:val="clear" w:color="auto" w:fill="AEEAC1"/>
          </w:tcPr>
          <w:p w14:paraId="7FBA273C" w14:textId="77777777" w:rsidR="00CC04F4" w:rsidRPr="00FD551E" w:rsidRDefault="00CC04F4" w:rsidP="00CC04F4">
            <w:pPr>
              <w:tabs>
                <w:tab w:val="left" w:pos="8102"/>
              </w:tabs>
              <w:rPr>
                <w:rFonts w:cs="Arial"/>
              </w:rPr>
            </w:pPr>
            <w:r w:rsidRPr="00FD551E">
              <w:rPr>
                <w:rFonts w:cs="Arial"/>
              </w:rPr>
              <w:t>Aplikační podpora IS AGIS</w:t>
            </w:r>
          </w:p>
        </w:tc>
      </w:tr>
      <w:tr w:rsidR="00CC04F4" w:rsidRPr="00FD551E" w14:paraId="2F7E9F33" w14:textId="77777777" w:rsidTr="00CC04F4">
        <w:trPr>
          <w:trHeight w:val="1157"/>
        </w:trPr>
        <w:tc>
          <w:tcPr>
            <w:tcW w:w="1843" w:type="dxa"/>
            <w:shd w:val="clear" w:color="auto" w:fill="AEEAC1"/>
          </w:tcPr>
          <w:p w14:paraId="03985A72" w14:textId="77777777" w:rsidR="00CC04F4" w:rsidRPr="00FD551E" w:rsidRDefault="00CC04F4" w:rsidP="00CC04F4">
            <w:pPr>
              <w:jc w:val="left"/>
              <w:rPr>
                <w:rFonts w:cs="Arial"/>
                <w:b/>
                <w:bCs/>
              </w:rPr>
            </w:pPr>
            <w:r w:rsidRPr="00FD551E">
              <w:rPr>
                <w:rFonts w:cs="Arial"/>
                <w:b/>
                <w:bCs/>
              </w:rPr>
              <w:t>Popis služby</w:t>
            </w:r>
          </w:p>
        </w:tc>
        <w:tc>
          <w:tcPr>
            <w:tcW w:w="7221" w:type="dxa"/>
          </w:tcPr>
          <w:p w14:paraId="5E25A073" w14:textId="77777777" w:rsidR="00CC04F4" w:rsidRPr="00FD551E" w:rsidRDefault="00CC04F4" w:rsidP="00CC04F4">
            <w:pPr>
              <w:rPr>
                <w:b/>
              </w:rPr>
            </w:pPr>
            <w:r w:rsidRPr="00FD551E">
              <w:rPr>
                <w:b/>
              </w:rPr>
              <w:t>Školení IS AGIS</w:t>
            </w:r>
          </w:p>
          <w:p w14:paraId="64893FF4" w14:textId="1CFE7EE9" w:rsidR="00CC04F4" w:rsidRPr="00FD551E" w:rsidRDefault="00CC04F4" w:rsidP="00CC04F4">
            <w:r w:rsidRPr="00FD551E">
              <w:t>Tato služba je objednávána formou PZ.</w:t>
            </w:r>
          </w:p>
          <w:p w14:paraId="00676E3A" w14:textId="77777777" w:rsidR="00CC04F4" w:rsidRPr="00FD551E" w:rsidRDefault="00CC04F4" w:rsidP="00CC04F4">
            <w:pPr>
              <w:rPr>
                <w:b/>
              </w:rPr>
            </w:pPr>
            <w:r w:rsidRPr="00FD551E">
              <w:rPr>
                <w:b/>
              </w:rPr>
              <w:t>Konzultační služby</w:t>
            </w:r>
          </w:p>
          <w:p w14:paraId="2A58E60F" w14:textId="6A57671D" w:rsidR="00CC04F4" w:rsidRPr="00FD551E" w:rsidRDefault="00CC04F4" w:rsidP="00632468">
            <w:pPr>
              <w:rPr>
                <w:rFonts w:cs="Arial"/>
              </w:rPr>
            </w:pPr>
            <w:r w:rsidRPr="00FD551E">
              <w:t xml:space="preserve">Tato služba je objednávána formou PZ, jestliže její předpokládaný rozsah je větší než 8 hodin (jinak je řešena </w:t>
            </w:r>
            <w:r w:rsidR="00632468">
              <w:t>v rámci Služby č. 01</w:t>
            </w:r>
            <w:r w:rsidRPr="00FD551E">
              <w:t>).</w:t>
            </w:r>
          </w:p>
        </w:tc>
      </w:tr>
      <w:tr w:rsidR="00CC04F4" w:rsidRPr="00FD551E" w14:paraId="2C247A26" w14:textId="77777777" w:rsidTr="00CC04F4">
        <w:trPr>
          <w:trHeight w:val="1084"/>
        </w:trPr>
        <w:tc>
          <w:tcPr>
            <w:tcW w:w="1843" w:type="dxa"/>
            <w:shd w:val="clear" w:color="auto" w:fill="AEEAC1"/>
          </w:tcPr>
          <w:p w14:paraId="27AE2186" w14:textId="77777777" w:rsidR="00CC04F4" w:rsidRPr="00FD551E" w:rsidRDefault="00CC04F4" w:rsidP="00CC04F4">
            <w:pPr>
              <w:jc w:val="left"/>
              <w:rPr>
                <w:rFonts w:cs="Arial"/>
                <w:b/>
                <w:bCs/>
              </w:rPr>
            </w:pPr>
            <w:r w:rsidRPr="00FD551E">
              <w:rPr>
                <w:rFonts w:cs="Arial"/>
                <w:b/>
                <w:bCs/>
              </w:rPr>
              <w:t>Obsah služby</w:t>
            </w:r>
          </w:p>
        </w:tc>
        <w:tc>
          <w:tcPr>
            <w:tcW w:w="7221" w:type="dxa"/>
          </w:tcPr>
          <w:p w14:paraId="03E3424B" w14:textId="77777777" w:rsidR="00CC04F4" w:rsidRPr="00FD551E" w:rsidRDefault="00CC04F4" w:rsidP="00CC04F4">
            <w:pPr>
              <w:rPr>
                <w:b/>
              </w:rPr>
            </w:pPr>
            <w:r w:rsidRPr="00FD551E">
              <w:rPr>
                <w:b/>
              </w:rPr>
              <w:t>Školení IS AGIS</w:t>
            </w:r>
          </w:p>
          <w:p w14:paraId="4072F909" w14:textId="748E3D9E" w:rsidR="00CC04F4" w:rsidRPr="00FD551E" w:rsidRDefault="00CC04F4" w:rsidP="00CC04F4">
            <w:r w:rsidRPr="00FD551E">
              <w:t>Jedná se buď o vstupní školení nových uživatelů systému IS AGIS, kde jsou obsahem Základy ovládání systému a ovládání modulu v rámci odborného zaměření uživatele, nebo jde o školení stávajících uživatelů IS AGIS po realizaci nových modulů, nebo změn rozsáhlejší povahy. V tomto případě je potřeba školení uživatelů specifikována/požadována v daném Požadavku na změnu (PZ).</w:t>
            </w:r>
          </w:p>
          <w:p w14:paraId="15C8942E" w14:textId="77777777" w:rsidR="00CC04F4" w:rsidRPr="00FD551E" w:rsidRDefault="00CC04F4" w:rsidP="00CC04F4">
            <w:pPr>
              <w:rPr>
                <w:b/>
              </w:rPr>
            </w:pPr>
            <w:r w:rsidRPr="00FD551E">
              <w:rPr>
                <w:b/>
              </w:rPr>
              <w:t>Konzultační služby</w:t>
            </w:r>
          </w:p>
          <w:p w14:paraId="5E48DBC8" w14:textId="4AE96E3E" w:rsidR="00CC04F4" w:rsidRPr="00FD551E" w:rsidRDefault="00CC04F4" w:rsidP="00CC04F4">
            <w:r w:rsidRPr="00FD551E">
              <w:t xml:space="preserve">Konzultacemi se v rámci této služby míní spolupráce Poskytovatele a Objednatele při formulování rozsáhlejších změn systému AGIS, při hledání řešení problémů souvisejících s převodem nové metodiky administrace do IS </w:t>
            </w:r>
            <w:proofErr w:type="gramStart"/>
            <w:r w:rsidRPr="00FD551E">
              <w:t>AGIS,</w:t>
            </w:r>
            <w:proofErr w:type="gramEnd"/>
            <w:r w:rsidRPr="00FD551E">
              <w:t xml:space="preserve"> atd.</w:t>
            </w:r>
          </w:p>
        </w:tc>
      </w:tr>
      <w:tr w:rsidR="00CC04F4" w:rsidRPr="00FD551E" w14:paraId="016177CD" w14:textId="77777777" w:rsidTr="00CC04F4">
        <w:trPr>
          <w:trHeight w:val="1127"/>
        </w:trPr>
        <w:tc>
          <w:tcPr>
            <w:tcW w:w="1843" w:type="dxa"/>
            <w:shd w:val="clear" w:color="auto" w:fill="AEEAC1"/>
          </w:tcPr>
          <w:p w14:paraId="0E6ECC44" w14:textId="77777777" w:rsidR="00CC04F4" w:rsidRPr="00FD551E" w:rsidRDefault="00CC04F4" w:rsidP="00CC04F4">
            <w:pPr>
              <w:jc w:val="left"/>
              <w:rPr>
                <w:rFonts w:cs="Arial"/>
                <w:b/>
                <w:bCs/>
              </w:rPr>
            </w:pPr>
            <w:r w:rsidRPr="00FD551E">
              <w:rPr>
                <w:rFonts w:cs="Arial"/>
                <w:b/>
                <w:bCs/>
              </w:rPr>
              <w:t>Způsob realizace služby</w:t>
            </w:r>
          </w:p>
        </w:tc>
        <w:tc>
          <w:tcPr>
            <w:tcW w:w="7221" w:type="dxa"/>
          </w:tcPr>
          <w:p w14:paraId="72A265DA" w14:textId="77777777" w:rsidR="00CC04F4" w:rsidRPr="00FD551E" w:rsidRDefault="00CC04F4" w:rsidP="00CC04F4">
            <w:r w:rsidRPr="00FD551E">
              <w:t>Školení probíhá v učebnách Objednatele na pracovišti SZIF.</w:t>
            </w:r>
          </w:p>
          <w:p w14:paraId="5DBB2B8D" w14:textId="77777777" w:rsidR="00CC04F4" w:rsidRDefault="00CC04F4" w:rsidP="00CC04F4">
            <w:pPr>
              <w:spacing w:after="0" w:line="240" w:lineRule="auto"/>
              <w:ind w:right="74"/>
            </w:pPr>
            <w:r w:rsidRPr="00FD551E">
              <w:t>Konzultační služby probíhají na pracovišti Objednatele.</w:t>
            </w:r>
          </w:p>
          <w:p w14:paraId="2956C8C8" w14:textId="537EDB92" w:rsidR="00632468" w:rsidRPr="00FD551E" w:rsidRDefault="00632468" w:rsidP="00CC04F4">
            <w:pPr>
              <w:spacing w:after="0" w:line="240" w:lineRule="auto"/>
              <w:ind w:right="74"/>
              <w:rPr>
                <w:rFonts w:cs="Arial"/>
              </w:rPr>
            </w:pPr>
            <w:r>
              <w:t xml:space="preserve">Služby jsou poskytovány </w:t>
            </w:r>
            <w:r w:rsidRPr="00FD551E">
              <w:rPr>
                <w:rFonts w:cs="Arial"/>
              </w:rPr>
              <w:t>specializovanými pracovníky Poskytovatele</w:t>
            </w:r>
            <w:r>
              <w:rPr>
                <w:rFonts w:cs="Arial"/>
              </w:rPr>
              <w:t>.</w:t>
            </w:r>
          </w:p>
        </w:tc>
      </w:tr>
      <w:tr w:rsidR="00CC04F4" w:rsidRPr="00FD551E" w14:paraId="5B7A2EA2" w14:textId="77777777" w:rsidTr="00632468">
        <w:trPr>
          <w:trHeight w:val="576"/>
        </w:trPr>
        <w:tc>
          <w:tcPr>
            <w:tcW w:w="1843" w:type="dxa"/>
            <w:shd w:val="clear" w:color="auto" w:fill="AEEAC1"/>
          </w:tcPr>
          <w:p w14:paraId="069C016C" w14:textId="77777777" w:rsidR="00CC04F4" w:rsidRPr="00FD551E" w:rsidRDefault="00CC04F4" w:rsidP="00CC04F4">
            <w:pPr>
              <w:jc w:val="left"/>
              <w:rPr>
                <w:rFonts w:cs="Arial"/>
                <w:b/>
                <w:bCs/>
              </w:rPr>
            </w:pPr>
            <w:r w:rsidRPr="00FD551E">
              <w:rPr>
                <w:rFonts w:cs="Arial"/>
                <w:b/>
                <w:bCs/>
              </w:rPr>
              <w:t>Metriky</w:t>
            </w:r>
          </w:p>
        </w:tc>
        <w:tc>
          <w:tcPr>
            <w:tcW w:w="7221" w:type="dxa"/>
          </w:tcPr>
          <w:p w14:paraId="29EF46C1" w14:textId="6D4C8128" w:rsidR="00CC04F4" w:rsidRPr="00FD551E" w:rsidRDefault="00CC04F4" w:rsidP="00CC04F4">
            <w:pPr>
              <w:spacing w:after="0" w:line="240" w:lineRule="auto"/>
              <w:ind w:right="74"/>
              <w:rPr>
                <w:rFonts w:cs="Arial"/>
              </w:rPr>
            </w:pPr>
            <w:r w:rsidRPr="00FD551E">
              <w:rPr>
                <w:rFonts w:cs="Arial"/>
              </w:rPr>
              <w:t>Četnost dodávané služby, spokojenost uživatelů (dotazník)</w:t>
            </w:r>
          </w:p>
        </w:tc>
      </w:tr>
      <w:tr w:rsidR="00CC04F4" w:rsidRPr="00FD551E" w14:paraId="7018A11E" w14:textId="77777777" w:rsidTr="00CC04F4">
        <w:trPr>
          <w:trHeight w:val="745"/>
        </w:trPr>
        <w:tc>
          <w:tcPr>
            <w:tcW w:w="1843" w:type="dxa"/>
            <w:shd w:val="clear" w:color="auto" w:fill="AEEAC1"/>
          </w:tcPr>
          <w:p w14:paraId="795BD27E" w14:textId="77777777" w:rsidR="00CC04F4" w:rsidRPr="00FD551E" w:rsidRDefault="00CC04F4" w:rsidP="00CC04F4">
            <w:pPr>
              <w:jc w:val="left"/>
              <w:rPr>
                <w:rFonts w:cs="Arial"/>
                <w:b/>
                <w:bCs/>
              </w:rPr>
            </w:pPr>
            <w:r w:rsidRPr="00FD551E">
              <w:rPr>
                <w:rFonts w:cs="Arial"/>
                <w:b/>
                <w:bCs/>
              </w:rPr>
              <w:t>Minimální hodnoty</w:t>
            </w:r>
          </w:p>
        </w:tc>
        <w:tc>
          <w:tcPr>
            <w:tcW w:w="7221" w:type="dxa"/>
          </w:tcPr>
          <w:p w14:paraId="52A71D37" w14:textId="77777777" w:rsidR="00CC04F4" w:rsidRPr="00FD551E" w:rsidRDefault="00CC04F4" w:rsidP="00CC04F4">
            <w:pPr>
              <w:spacing w:after="0" w:line="240" w:lineRule="auto"/>
              <w:ind w:right="74"/>
              <w:rPr>
                <w:rFonts w:cs="Arial"/>
              </w:rPr>
            </w:pPr>
            <w:r w:rsidRPr="00FD551E">
              <w:rPr>
                <w:rFonts w:cs="Arial"/>
              </w:rPr>
              <w:t>Nestanovují se</w:t>
            </w:r>
          </w:p>
        </w:tc>
      </w:tr>
      <w:tr w:rsidR="00CC04F4" w:rsidRPr="00FD551E" w14:paraId="36997054" w14:textId="77777777" w:rsidTr="00CC04F4">
        <w:trPr>
          <w:trHeight w:val="945"/>
        </w:trPr>
        <w:tc>
          <w:tcPr>
            <w:tcW w:w="1843" w:type="dxa"/>
            <w:shd w:val="clear" w:color="auto" w:fill="AEEAC1"/>
          </w:tcPr>
          <w:p w14:paraId="7BE9E971" w14:textId="77777777" w:rsidR="00CC04F4" w:rsidRPr="00FD551E" w:rsidRDefault="00CC04F4" w:rsidP="00CC04F4">
            <w:pPr>
              <w:jc w:val="left"/>
              <w:rPr>
                <w:rFonts w:cs="Arial"/>
                <w:b/>
                <w:bCs/>
              </w:rPr>
            </w:pPr>
            <w:r w:rsidRPr="00FD551E">
              <w:rPr>
                <w:rFonts w:cs="Arial"/>
                <w:b/>
                <w:bCs/>
              </w:rPr>
              <w:t>Dostupnost služby</w:t>
            </w:r>
          </w:p>
        </w:tc>
        <w:tc>
          <w:tcPr>
            <w:tcW w:w="7221" w:type="dxa"/>
          </w:tcPr>
          <w:p w14:paraId="57AD8378" w14:textId="4F728CB6" w:rsidR="00CC04F4" w:rsidRPr="00FD551E" w:rsidRDefault="00CC04F4" w:rsidP="00632468">
            <w:pPr>
              <w:spacing w:after="0" w:line="240" w:lineRule="auto"/>
              <w:ind w:right="74"/>
              <w:rPr>
                <w:rFonts w:cs="Arial"/>
              </w:rPr>
            </w:pPr>
            <w:r w:rsidRPr="00FD551E">
              <w:rPr>
                <w:rFonts w:cs="Arial"/>
              </w:rPr>
              <w:t xml:space="preserve">V pracovní dny od 8:00 do 16:30 hodin </w:t>
            </w:r>
          </w:p>
        </w:tc>
      </w:tr>
      <w:tr w:rsidR="00CC04F4" w:rsidRPr="00FD551E" w14:paraId="02E05C51" w14:textId="77777777" w:rsidTr="00CC04F4">
        <w:trPr>
          <w:trHeight w:val="550"/>
        </w:trPr>
        <w:tc>
          <w:tcPr>
            <w:tcW w:w="1843" w:type="dxa"/>
            <w:shd w:val="clear" w:color="auto" w:fill="AEEAC1"/>
          </w:tcPr>
          <w:p w14:paraId="37772946" w14:textId="27DD6320" w:rsidR="00CC04F4" w:rsidRPr="00FD551E" w:rsidRDefault="00E12E43" w:rsidP="00CC04F4">
            <w:pPr>
              <w:jc w:val="left"/>
              <w:rPr>
                <w:rFonts w:cs="Arial"/>
                <w:b/>
                <w:bCs/>
              </w:rPr>
            </w:pPr>
            <w:r>
              <w:rPr>
                <w:rFonts w:cs="Arial"/>
                <w:b/>
                <w:bCs/>
              </w:rPr>
              <w:t>Předpokládaný r</w:t>
            </w:r>
            <w:r w:rsidR="00CC04F4" w:rsidRPr="00FD551E">
              <w:rPr>
                <w:rFonts w:cs="Arial"/>
                <w:b/>
                <w:bCs/>
              </w:rPr>
              <w:t>ozsah poskytované služby</w:t>
            </w:r>
          </w:p>
        </w:tc>
        <w:tc>
          <w:tcPr>
            <w:tcW w:w="7221" w:type="dxa"/>
          </w:tcPr>
          <w:p w14:paraId="71772557" w14:textId="5112ACC7" w:rsidR="00CC04F4" w:rsidRPr="00FD551E" w:rsidRDefault="00632468" w:rsidP="00632468">
            <w:pPr>
              <w:spacing w:after="0" w:line="240" w:lineRule="auto"/>
              <w:ind w:right="74"/>
              <w:jc w:val="left"/>
              <w:rPr>
                <w:rFonts w:cs="Arial"/>
              </w:rPr>
            </w:pPr>
            <w:r>
              <w:rPr>
                <w:rFonts w:cs="Arial"/>
              </w:rPr>
              <w:t xml:space="preserve">V rámci stanoveného </w:t>
            </w:r>
            <w:r w:rsidR="00E12E43">
              <w:rPr>
                <w:rFonts w:cs="Arial"/>
              </w:rPr>
              <w:t xml:space="preserve">předpokládaného </w:t>
            </w:r>
            <w:r>
              <w:rPr>
                <w:rFonts w:cs="Arial"/>
              </w:rPr>
              <w:t>rozsahu Služby č. 04</w:t>
            </w:r>
          </w:p>
        </w:tc>
      </w:tr>
      <w:tr w:rsidR="00CC04F4" w:rsidRPr="00FD551E" w14:paraId="72CAEE31" w14:textId="77777777" w:rsidTr="00CC04F4">
        <w:trPr>
          <w:trHeight w:val="1101"/>
        </w:trPr>
        <w:tc>
          <w:tcPr>
            <w:tcW w:w="1843" w:type="dxa"/>
            <w:shd w:val="clear" w:color="auto" w:fill="AEEAC1"/>
          </w:tcPr>
          <w:p w14:paraId="74423D81" w14:textId="77777777" w:rsidR="00CC04F4" w:rsidRPr="00FD551E" w:rsidRDefault="00CC04F4" w:rsidP="00CC04F4">
            <w:pPr>
              <w:jc w:val="left"/>
              <w:rPr>
                <w:rFonts w:cs="Arial"/>
                <w:b/>
                <w:bCs/>
              </w:rPr>
            </w:pPr>
            <w:r w:rsidRPr="00FD551E">
              <w:rPr>
                <w:rFonts w:cs="Arial"/>
                <w:b/>
                <w:bCs/>
              </w:rPr>
              <w:t>Poznámky</w:t>
            </w:r>
          </w:p>
        </w:tc>
        <w:tc>
          <w:tcPr>
            <w:tcW w:w="7221" w:type="dxa"/>
          </w:tcPr>
          <w:p w14:paraId="2C3E72E8" w14:textId="77777777" w:rsidR="00CC04F4" w:rsidRPr="00FD551E" w:rsidRDefault="00CC04F4" w:rsidP="00CC04F4">
            <w:pPr>
              <w:tabs>
                <w:tab w:val="left" w:pos="7858"/>
              </w:tabs>
              <w:spacing w:after="0" w:line="240" w:lineRule="auto"/>
              <w:ind w:right="74"/>
              <w:rPr>
                <w:rFonts w:cs="Arial"/>
                <w:b/>
              </w:rPr>
            </w:pPr>
            <w:r w:rsidRPr="00FD551E">
              <w:rPr>
                <w:rFonts w:cs="Arial"/>
              </w:rPr>
              <w:t>V případě nutnosti překročení rozsahu dané služby v daném měsíci je možné po dohodě s Poskytovatelem čerpat další hodiny služby na úkor jiné ze služeb v rámci celkového měsíčního rozsahu služeb poskytovaných ve skupině služeb:</w:t>
            </w:r>
            <w:r w:rsidRPr="00FD551E">
              <w:rPr>
                <w:rFonts w:cs="Arial"/>
                <w:b/>
              </w:rPr>
              <w:t xml:space="preserve"> Aplikační podpora IS AGIS</w:t>
            </w:r>
          </w:p>
        </w:tc>
      </w:tr>
      <w:tr w:rsidR="00CC04F4" w:rsidRPr="00FD551E" w14:paraId="62E5361F" w14:textId="77777777" w:rsidTr="00CC04F4">
        <w:trPr>
          <w:trHeight w:val="409"/>
        </w:trPr>
        <w:tc>
          <w:tcPr>
            <w:tcW w:w="1843" w:type="dxa"/>
            <w:shd w:val="clear" w:color="auto" w:fill="AEEAC1"/>
          </w:tcPr>
          <w:p w14:paraId="6E20CBAE" w14:textId="77777777" w:rsidR="00CC04F4" w:rsidRPr="00FD551E" w:rsidRDefault="00CC04F4" w:rsidP="00CC04F4">
            <w:pPr>
              <w:jc w:val="left"/>
              <w:rPr>
                <w:rFonts w:cs="Arial"/>
                <w:b/>
                <w:bCs/>
              </w:rPr>
            </w:pPr>
            <w:r w:rsidRPr="00FD551E">
              <w:rPr>
                <w:rFonts w:cs="Arial"/>
                <w:b/>
                <w:bCs/>
              </w:rPr>
              <w:t>Reporting služby</w:t>
            </w:r>
          </w:p>
        </w:tc>
        <w:tc>
          <w:tcPr>
            <w:tcW w:w="7221" w:type="dxa"/>
          </w:tcPr>
          <w:p w14:paraId="4C15D67B" w14:textId="23FA58B4" w:rsidR="00632468" w:rsidRDefault="00632468" w:rsidP="00CC04F4">
            <w:pPr>
              <w:spacing w:after="0" w:line="240" w:lineRule="auto"/>
              <w:ind w:right="74"/>
              <w:jc w:val="left"/>
              <w:rPr>
                <w:rFonts w:cs="Arial"/>
              </w:rPr>
            </w:pPr>
            <w:r w:rsidRPr="00FD551E">
              <w:t>K zajištění služby slouží dokument PZ. Administrátor služby Poskytovatele předává Objednateli (uživateli, garantem) potvrzený formulář AZ.</w:t>
            </w:r>
          </w:p>
          <w:p w14:paraId="7B32B20A" w14:textId="4BF3F9DF" w:rsidR="00CC04F4" w:rsidRPr="00FD551E" w:rsidRDefault="00CC04F4" w:rsidP="00CC04F4">
            <w:pPr>
              <w:spacing w:after="0" w:line="240" w:lineRule="auto"/>
              <w:ind w:right="74"/>
              <w:jc w:val="left"/>
              <w:rPr>
                <w:rFonts w:cs="Arial"/>
              </w:rPr>
            </w:pPr>
            <w:r w:rsidRPr="00FD551E">
              <w:rPr>
                <w:rFonts w:cs="Arial"/>
              </w:rPr>
              <w:t>Výkaz školení (prezenční listina + certifikát uživatele IS AGIS), dotazníky spokojenosti uživatelů</w:t>
            </w:r>
          </w:p>
        </w:tc>
      </w:tr>
      <w:tr w:rsidR="00CC04F4" w:rsidRPr="00FD551E" w14:paraId="63D48C25" w14:textId="77777777" w:rsidTr="00CC04F4">
        <w:trPr>
          <w:trHeight w:val="315"/>
        </w:trPr>
        <w:tc>
          <w:tcPr>
            <w:tcW w:w="1843" w:type="dxa"/>
            <w:shd w:val="clear" w:color="auto" w:fill="AEEAC1"/>
          </w:tcPr>
          <w:p w14:paraId="0E5A3348" w14:textId="77777777" w:rsidR="00CC04F4" w:rsidRPr="00FD551E" w:rsidRDefault="00CC04F4" w:rsidP="00CC04F4">
            <w:pPr>
              <w:jc w:val="left"/>
              <w:rPr>
                <w:rFonts w:cs="Arial"/>
                <w:b/>
                <w:bCs/>
              </w:rPr>
            </w:pPr>
            <w:r w:rsidRPr="00FD551E">
              <w:rPr>
                <w:rFonts w:cs="Arial"/>
                <w:b/>
                <w:bCs/>
              </w:rPr>
              <w:t>Smluvní pokuta</w:t>
            </w:r>
          </w:p>
        </w:tc>
        <w:tc>
          <w:tcPr>
            <w:tcW w:w="7221" w:type="dxa"/>
          </w:tcPr>
          <w:p w14:paraId="0956D921" w14:textId="77810223" w:rsidR="00CC04F4" w:rsidRPr="00FD551E" w:rsidRDefault="00632468" w:rsidP="00632468">
            <w:pPr>
              <w:spacing w:line="240" w:lineRule="auto"/>
              <w:rPr>
                <w:rFonts w:cs="Arial"/>
              </w:rPr>
            </w:pPr>
            <w:r>
              <w:rPr>
                <w:rFonts w:cs="Arial"/>
              </w:rPr>
              <w:t xml:space="preserve">Služba je objednávána formou PZ, jsou uplatňovány smluvní pokuty stanovené pro Službu č. 04  </w:t>
            </w:r>
          </w:p>
        </w:tc>
      </w:tr>
    </w:tbl>
    <w:tbl>
      <w:tblPr>
        <w:tblStyle w:val="Mkatabulky"/>
        <w:tblW w:w="9057" w:type="dxa"/>
        <w:tblInd w:w="9" w:type="dxa"/>
        <w:tblLayout w:type="fixed"/>
        <w:tblLook w:val="04A0" w:firstRow="1" w:lastRow="0" w:firstColumn="1" w:lastColumn="0" w:noHBand="0" w:noVBand="1"/>
      </w:tblPr>
      <w:tblGrid>
        <w:gridCol w:w="2497"/>
        <w:gridCol w:w="2253"/>
        <w:gridCol w:w="2133"/>
        <w:gridCol w:w="2174"/>
      </w:tblGrid>
      <w:tr w:rsidR="00CC04F4" w:rsidRPr="00FD551E" w14:paraId="70C52D80" w14:textId="77777777" w:rsidTr="00CC04F4">
        <w:trPr>
          <w:cantSplit/>
          <w:trHeight w:val="408"/>
        </w:trPr>
        <w:tc>
          <w:tcPr>
            <w:tcW w:w="9057" w:type="dxa"/>
            <w:gridSpan w:val="4"/>
            <w:tcBorders>
              <w:bottom w:val="single" w:sz="4" w:space="0" w:color="auto"/>
            </w:tcBorders>
            <w:shd w:val="clear" w:color="auto" w:fill="006600"/>
            <w:vAlign w:val="center"/>
          </w:tcPr>
          <w:p w14:paraId="6C115A61" w14:textId="77777777" w:rsidR="00CC04F4" w:rsidRPr="00FD551E" w:rsidRDefault="00CC04F4" w:rsidP="00CC04F4">
            <w:pPr>
              <w:spacing w:before="0" w:after="0"/>
              <w:jc w:val="left"/>
            </w:pPr>
            <w:r w:rsidRPr="00FD551E">
              <w:t>Cena služby</w:t>
            </w:r>
          </w:p>
        </w:tc>
      </w:tr>
      <w:tr w:rsidR="00CC04F4" w:rsidRPr="00FD551E" w14:paraId="230983AB" w14:textId="77777777" w:rsidTr="00CC04F4">
        <w:trPr>
          <w:cantSplit/>
          <w:trHeight w:val="410"/>
        </w:trPr>
        <w:tc>
          <w:tcPr>
            <w:tcW w:w="2497" w:type="dxa"/>
            <w:tcBorders>
              <w:bottom w:val="single" w:sz="4" w:space="0" w:color="auto"/>
            </w:tcBorders>
            <w:shd w:val="clear" w:color="auto" w:fill="AEEAC1"/>
            <w:vAlign w:val="center"/>
          </w:tcPr>
          <w:p w14:paraId="576F87DA" w14:textId="77777777" w:rsidR="00CC04F4" w:rsidRPr="00FD551E" w:rsidRDefault="00CC04F4" w:rsidP="00CC04F4">
            <w:pPr>
              <w:spacing w:before="0" w:after="0"/>
              <w:jc w:val="left"/>
            </w:pPr>
            <w:r w:rsidRPr="00FD551E">
              <w:t>Položka</w:t>
            </w:r>
          </w:p>
        </w:tc>
        <w:tc>
          <w:tcPr>
            <w:tcW w:w="2253" w:type="dxa"/>
            <w:tcBorders>
              <w:bottom w:val="single" w:sz="4" w:space="0" w:color="auto"/>
            </w:tcBorders>
            <w:shd w:val="clear" w:color="auto" w:fill="AEEAC1"/>
            <w:vAlign w:val="center"/>
          </w:tcPr>
          <w:p w14:paraId="6CBB95E0" w14:textId="77777777" w:rsidR="00CC04F4" w:rsidRPr="00FD551E" w:rsidRDefault="00CC04F4" w:rsidP="00CC04F4">
            <w:pPr>
              <w:spacing w:before="0" w:after="0"/>
              <w:jc w:val="left"/>
            </w:pPr>
            <w:r w:rsidRPr="00FD551E">
              <w:t>Cena v Kč bez DPH</w:t>
            </w:r>
          </w:p>
        </w:tc>
        <w:tc>
          <w:tcPr>
            <w:tcW w:w="2133" w:type="dxa"/>
            <w:tcBorders>
              <w:bottom w:val="single" w:sz="4" w:space="0" w:color="auto"/>
            </w:tcBorders>
            <w:shd w:val="clear" w:color="auto" w:fill="AEEAC1"/>
            <w:vAlign w:val="center"/>
          </w:tcPr>
          <w:p w14:paraId="7371B0DA" w14:textId="77777777" w:rsidR="00CC04F4" w:rsidRPr="00FD551E" w:rsidRDefault="00CC04F4" w:rsidP="00CC04F4">
            <w:pPr>
              <w:spacing w:before="0" w:after="0"/>
              <w:jc w:val="left"/>
            </w:pPr>
            <w:r w:rsidRPr="00FD551E">
              <w:t xml:space="preserve">DPH </w:t>
            </w:r>
            <w:proofErr w:type="gramStart"/>
            <w:r w:rsidRPr="00FD551E">
              <w:t>21%</w:t>
            </w:r>
            <w:proofErr w:type="gramEnd"/>
          </w:p>
        </w:tc>
        <w:tc>
          <w:tcPr>
            <w:tcW w:w="2174" w:type="dxa"/>
            <w:tcBorders>
              <w:bottom w:val="single" w:sz="4" w:space="0" w:color="auto"/>
            </w:tcBorders>
            <w:shd w:val="clear" w:color="auto" w:fill="AEEAC1"/>
            <w:vAlign w:val="center"/>
          </w:tcPr>
          <w:p w14:paraId="6B9A8C69" w14:textId="77777777" w:rsidR="00CC04F4" w:rsidRPr="00FD551E" w:rsidRDefault="00CC04F4" w:rsidP="00CC04F4">
            <w:pPr>
              <w:spacing w:before="0" w:after="0"/>
              <w:jc w:val="left"/>
            </w:pPr>
            <w:r w:rsidRPr="00FD551E">
              <w:t>Cena v Kč s DPH</w:t>
            </w:r>
          </w:p>
        </w:tc>
      </w:tr>
      <w:tr w:rsidR="00632468" w:rsidRPr="00FD551E" w14:paraId="7700F075" w14:textId="77777777" w:rsidTr="00AB45AA">
        <w:trPr>
          <w:cantSplit/>
          <w:trHeight w:val="666"/>
        </w:trPr>
        <w:tc>
          <w:tcPr>
            <w:tcW w:w="2497" w:type="dxa"/>
            <w:tcBorders>
              <w:bottom w:val="single" w:sz="4" w:space="0" w:color="auto"/>
            </w:tcBorders>
            <w:shd w:val="clear" w:color="auto" w:fill="auto"/>
            <w:vAlign w:val="center"/>
          </w:tcPr>
          <w:p w14:paraId="3F0D03C6" w14:textId="37BD760D" w:rsidR="00632468" w:rsidRPr="00FD551E" w:rsidRDefault="00632468" w:rsidP="00CC04F4">
            <w:pPr>
              <w:spacing w:before="0" w:after="0"/>
              <w:jc w:val="left"/>
            </w:pPr>
            <w:r>
              <w:t>Cena za službu</w:t>
            </w:r>
          </w:p>
        </w:tc>
        <w:tc>
          <w:tcPr>
            <w:tcW w:w="6560" w:type="dxa"/>
            <w:gridSpan w:val="3"/>
            <w:tcBorders>
              <w:bottom w:val="single" w:sz="4" w:space="0" w:color="auto"/>
            </w:tcBorders>
            <w:shd w:val="clear" w:color="auto" w:fill="auto"/>
            <w:vAlign w:val="center"/>
          </w:tcPr>
          <w:p w14:paraId="04F99CCC" w14:textId="7D2AC576" w:rsidR="00632468" w:rsidRPr="00FD551E" w:rsidRDefault="00632468" w:rsidP="00CC04F4">
            <w:pPr>
              <w:spacing w:before="0" w:after="0"/>
              <w:jc w:val="left"/>
              <w:rPr>
                <w:highlight w:val="yellow"/>
              </w:rPr>
            </w:pPr>
            <w:r w:rsidRPr="00632468">
              <w:t>v</w:t>
            </w:r>
            <w:r>
              <w:t xml:space="preserve"> rámci ceny Služby č. 04</w:t>
            </w:r>
            <w:r w:rsidRPr="00632468">
              <w:t xml:space="preserve"> </w:t>
            </w:r>
          </w:p>
        </w:tc>
      </w:tr>
    </w:tbl>
    <w:p w14:paraId="7A15BB1A" w14:textId="77777777" w:rsidR="00CC04F4" w:rsidRPr="00FD551E" w:rsidRDefault="00CC04F4" w:rsidP="00CC04F4">
      <w:pPr>
        <w:rPr>
          <w:highlight w:val="yellow"/>
        </w:rPr>
      </w:pPr>
    </w:p>
    <w:p w14:paraId="62F0F770" w14:textId="5C2888D0" w:rsidR="00CC04F4" w:rsidRPr="00FD551E" w:rsidRDefault="00DD3D14" w:rsidP="00CC04F4">
      <w:pPr>
        <w:pStyle w:val="Nadpis2"/>
        <w:pageBreakBefore/>
      </w:pPr>
      <w:bookmarkStart w:id="12" w:name="_Toc14796098"/>
      <w:r w:rsidRPr="00FD551E">
        <w:t xml:space="preserve">Služba č. 06 – Řízení a </w:t>
      </w:r>
      <w:r w:rsidR="00CC04F4" w:rsidRPr="00FD551E">
        <w:t>koordinace IS AGIS</w:t>
      </w:r>
      <w:bookmarkEnd w:id="12"/>
      <w:r w:rsidR="00CC04F4" w:rsidRPr="00FD551E">
        <w:t xml:space="preserve"> </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3"/>
        <w:gridCol w:w="7221"/>
      </w:tblGrid>
      <w:tr w:rsidR="00CC04F4" w:rsidRPr="00FD551E" w14:paraId="02169440" w14:textId="77777777" w:rsidTr="00CC04F4">
        <w:trPr>
          <w:trHeight w:val="315"/>
          <w:tblHeader/>
        </w:trPr>
        <w:tc>
          <w:tcPr>
            <w:tcW w:w="1843" w:type="dxa"/>
            <w:shd w:val="clear" w:color="auto" w:fill="006600"/>
            <w:noWrap/>
            <w:vAlign w:val="center"/>
          </w:tcPr>
          <w:p w14:paraId="51515F53" w14:textId="77777777" w:rsidR="00CC04F4" w:rsidRPr="00FD551E" w:rsidRDefault="00CC04F4" w:rsidP="00CC04F4">
            <w:pPr>
              <w:rPr>
                <w:rFonts w:cs="Arial"/>
                <w:b/>
              </w:rPr>
            </w:pPr>
            <w:r w:rsidRPr="00FD551E">
              <w:rPr>
                <w:rFonts w:cs="Arial"/>
                <w:b/>
              </w:rPr>
              <w:t>Název služby</w:t>
            </w:r>
          </w:p>
        </w:tc>
        <w:tc>
          <w:tcPr>
            <w:tcW w:w="7221" w:type="dxa"/>
            <w:shd w:val="clear" w:color="auto" w:fill="006600"/>
            <w:vAlign w:val="center"/>
          </w:tcPr>
          <w:p w14:paraId="39C2D29D" w14:textId="15E94744" w:rsidR="00CC04F4" w:rsidRPr="00FD551E" w:rsidRDefault="00CC04F4" w:rsidP="00CC04F4">
            <w:pPr>
              <w:rPr>
                <w:rFonts w:cs="Arial"/>
                <w:b/>
              </w:rPr>
            </w:pPr>
            <w:r w:rsidRPr="00FD551E">
              <w:rPr>
                <w:rFonts w:cs="Arial"/>
                <w:b/>
              </w:rPr>
              <w:t>Řízení, rozvoj, koordinace a integrace IS AGIS</w:t>
            </w:r>
          </w:p>
        </w:tc>
      </w:tr>
      <w:tr w:rsidR="00CC04F4" w:rsidRPr="00FD551E" w14:paraId="08B70BBF" w14:textId="77777777" w:rsidTr="00CC04F4">
        <w:trPr>
          <w:trHeight w:val="408"/>
          <w:tblHeader/>
        </w:trPr>
        <w:tc>
          <w:tcPr>
            <w:tcW w:w="1843" w:type="dxa"/>
            <w:tcBorders>
              <w:bottom w:val="single" w:sz="6" w:space="0" w:color="auto"/>
            </w:tcBorders>
            <w:shd w:val="clear" w:color="auto" w:fill="AEEAC1"/>
          </w:tcPr>
          <w:p w14:paraId="37420C1B" w14:textId="77777777" w:rsidR="00CC04F4" w:rsidRPr="00FD551E" w:rsidRDefault="00CC04F4" w:rsidP="00CC04F4">
            <w:pPr>
              <w:rPr>
                <w:rFonts w:cs="Arial"/>
                <w:b/>
                <w:bCs/>
              </w:rPr>
            </w:pPr>
            <w:r w:rsidRPr="00FD551E">
              <w:rPr>
                <w:rFonts w:cs="Arial"/>
                <w:b/>
                <w:bCs/>
              </w:rPr>
              <w:t>Skupina služeb</w:t>
            </w:r>
          </w:p>
        </w:tc>
        <w:tc>
          <w:tcPr>
            <w:tcW w:w="7221" w:type="dxa"/>
            <w:shd w:val="clear" w:color="auto" w:fill="AEEAC1"/>
          </w:tcPr>
          <w:p w14:paraId="7BD72BC4" w14:textId="77777777" w:rsidR="00CC04F4" w:rsidRPr="00FD551E" w:rsidRDefault="00CC04F4" w:rsidP="00CC04F4">
            <w:pPr>
              <w:tabs>
                <w:tab w:val="left" w:pos="8102"/>
              </w:tabs>
              <w:rPr>
                <w:rFonts w:cs="Arial"/>
              </w:rPr>
            </w:pPr>
            <w:r w:rsidRPr="00FD551E">
              <w:rPr>
                <w:rFonts w:cs="Arial"/>
              </w:rPr>
              <w:t>Aplikační podpora IS AGIS</w:t>
            </w:r>
          </w:p>
        </w:tc>
      </w:tr>
      <w:tr w:rsidR="00CC04F4" w:rsidRPr="00FD551E" w14:paraId="1D423ECE" w14:textId="77777777" w:rsidTr="00CC04F4">
        <w:trPr>
          <w:trHeight w:val="1157"/>
        </w:trPr>
        <w:tc>
          <w:tcPr>
            <w:tcW w:w="1843" w:type="dxa"/>
            <w:shd w:val="clear" w:color="auto" w:fill="AEEAC1"/>
          </w:tcPr>
          <w:p w14:paraId="714A5681" w14:textId="77777777" w:rsidR="00CC04F4" w:rsidRPr="00FD551E" w:rsidRDefault="00CC04F4" w:rsidP="00CC04F4">
            <w:pPr>
              <w:jc w:val="left"/>
              <w:rPr>
                <w:rFonts w:cs="Arial"/>
                <w:b/>
                <w:bCs/>
              </w:rPr>
            </w:pPr>
            <w:r w:rsidRPr="00FD551E">
              <w:rPr>
                <w:rFonts w:cs="Arial"/>
                <w:b/>
                <w:bCs/>
              </w:rPr>
              <w:t>Popis služby</w:t>
            </w:r>
          </w:p>
        </w:tc>
        <w:tc>
          <w:tcPr>
            <w:tcW w:w="7221" w:type="dxa"/>
          </w:tcPr>
          <w:p w14:paraId="02053801" w14:textId="1E0C9284" w:rsidR="00CC04F4" w:rsidRPr="00FD551E" w:rsidRDefault="00DD3D14" w:rsidP="008C7C75">
            <w:pPr>
              <w:rPr>
                <w:rFonts w:cs="Arial"/>
              </w:rPr>
            </w:pPr>
            <w:r w:rsidRPr="00FD551E">
              <w:t xml:space="preserve">Služba </w:t>
            </w:r>
            <w:r w:rsidR="008C7C75">
              <w:t>zajišťuje řízení p</w:t>
            </w:r>
            <w:r w:rsidRPr="00FD551E">
              <w:t xml:space="preserve">rojektu „ZAJIŠTĚNÍ PROVOZU, ROZVOJE A SERVISU IS AGIS“ </w:t>
            </w:r>
            <w:r w:rsidR="008C7C75">
              <w:t xml:space="preserve">ve formě </w:t>
            </w:r>
            <w:r w:rsidRPr="00FD551E">
              <w:t>účastí pracovníků Poskytovatele na řídících nástrojích Projektu a na řídících nástrojích informačního systému IS SZIF (další projekty Objednatele).</w:t>
            </w:r>
          </w:p>
        </w:tc>
      </w:tr>
      <w:tr w:rsidR="00CC04F4" w:rsidRPr="00FD551E" w14:paraId="2863B73F" w14:textId="77777777" w:rsidTr="00CC04F4">
        <w:trPr>
          <w:trHeight w:val="1084"/>
        </w:trPr>
        <w:tc>
          <w:tcPr>
            <w:tcW w:w="1843" w:type="dxa"/>
            <w:shd w:val="clear" w:color="auto" w:fill="AEEAC1"/>
          </w:tcPr>
          <w:p w14:paraId="11702069" w14:textId="77777777" w:rsidR="00CC04F4" w:rsidRPr="00FD551E" w:rsidRDefault="00CC04F4" w:rsidP="00CC04F4">
            <w:pPr>
              <w:jc w:val="left"/>
              <w:rPr>
                <w:rFonts w:cs="Arial"/>
                <w:b/>
                <w:bCs/>
              </w:rPr>
            </w:pPr>
            <w:r w:rsidRPr="00FD551E">
              <w:rPr>
                <w:rFonts w:cs="Arial"/>
                <w:b/>
                <w:bCs/>
              </w:rPr>
              <w:t>Obsah služby</w:t>
            </w:r>
          </w:p>
        </w:tc>
        <w:tc>
          <w:tcPr>
            <w:tcW w:w="7221" w:type="dxa"/>
          </w:tcPr>
          <w:p w14:paraId="3E34CA8B" w14:textId="1B8BBC9A" w:rsidR="00DD3D14" w:rsidRPr="00FD551E" w:rsidRDefault="00DD3D14" w:rsidP="00DD3D14">
            <w:r w:rsidRPr="00FD551E">
              <w:t>Hlavním nástrojem řízení Projektu je Hlavní tým projektu (HTP). Podle pokynů HTP probíhá na nižší úrovni činnost Týmů projektu (jsou předmětně zaměřené, např. podle modulů IS AGIS)</w:t>
            </w:r>
          </w:p>
          <w:p w14:paraId="0A4B0A1F" w14:textId="079BFCCA" w:rsidR="00DD3D14" w:rsidRPr="00FD551E" w:rsidRDefault="00DD3D14" w:rsidP="00DD3D14">
            <w:r w:rsidRPr="00FD551E">
              <w:t>Dalšími nástroji jsou Hlavní tým projektu IS SZIF (HTPG), případně další řídící týmy jiných projektů</w:t>
            </w:r>
          </w:p>
          <w:p w14:paraId="68FF621C" w14:textId="4DCFF447" w:rsidR="00CC04F4" w:rsidRPr="00FD551E" w:rsidRDefault="00DD3D14" w:rsidP="00DD3D14">
            <w:r w:rsidRPr="00FD551E">
              <w:t>Na všechny uvedené týmy jsou Poskytovatelem nominováni specialisté v potřebné roli.</w:t>
            </w:r>
          </w:p>
        </w:tc>
      </w:tr>
      <w:tr w:rsidR="00CC04F4" w:rsidRPr="00FD551E" w14:paraId="2FDB8B04" w14:textId="77777777" w:rsidTr="00DD3D14">
        <w:trPr>
          <w:trHeight w:val="1239"/>
        </w:trPr>
        <w:tc>
          <w:tcPr>
            <w:tcW w:w="1843" w:type="dxa"/>
            <w:shd w:val="clear" w:color="auto" w:fill="AEEAC1"/>
          </w:tcPr>
          <w:p w14:paraId="1479B505" w14:textId="77777777" w:rsidR="00CC04F4" w:rsidRPr="00FD551E" w:rsidRDefault="00CC04F4" w:rsidP="00CC04F4">
            <w:pPr>
              <w:jc w:val="left"/>
              <w:rPr>
                <w:rFonts w:cs="Arial"/>
                <w:b/>
                <w:bCs/>
              </w:rPr>
            </w:pPr>
            <w:r w:rsidRPr="00FD551E">
              <w:rPr>
                <w:rFonts w:cs="Arial"/>
                <w:b/>
                <w:bCs/>
              </w:rPr>
              <w:t>Způsob realizace služby</w:t>
            </w:r>
          </w:p>
        </w:tc>
        <w:tc>
          <w:tcPr>
            <w:tcW w:w="7221" w:type="dxa"/>
          </w:tcPr>
          <w:p w14:paraId="2A97BED1" w14:textId="4BAE519C" w:rsidR="00DD3D14" w:rsidRPr="00FD551E" w:rsidRDefault="00DD3D14" w:rsidP="00DD3D14">
            <w:r w:rsidRPr="00FD551E">
              <w:t>Hlavní tým projektu HTP, se schází podle plánu 1x týdně. Účastní se ho Vedoucí Projektu za Poskytovatele a konzultanti Poskytovatele, dále Vedoucí projektu za Objednatele a Vedoucí týmů za Objednatele.</w:t>
            </w:r>
          </w:p>
          <w:p w14:paraId="53E78414" w14:textId="77777777" w:rsidR="00CC04F4" w:rsidRDefault="00DD3D14" w:rsidP="00DD3D14">
            <w:pPr>
              <w:spacing w:after="0" w:line="240" w:lineRule="auto"/>
              <w:ind w:right="74"/>
            </w:pPr>
            <w:r w:rsidRPr="00FD551E">
              <w:t>Ostatní týmy se schází podle svých plánů minimálně 1x měsíčně.</w:t>
            </w:r>
          </w:p>
          <w:p w14:paraId="73C2CFE0" w14:textId="77777777" w:rsidR="008C7C75" w:rsidRPr="00FD551E" w:rsidRDefault="008C7C75" w:rsidP="008C7C75">
            <w:r w:rsidRPr="00FD551E">
              <w:t xml:space="preserve">HTP se zabývá zejména následujícími okruhy otázek: </w:t>
            </w:r>
          </w:p>
          <w:p w14:paraId="13ADB1B3" w14:textId="77777777" w:rsidR="008C7C75" w:rsidRPr="00FD551E" w:rsidRDefault="008C7C75" w:rsidP="008C7C75">
            <w:pPr>
              <w:pStyle w:val="Odstavecseseznamem"/>
              <w:numPr>
                <w:ilvl w:val="0"/>
                <w:numId w:val="32"/>
              </w:numPr>
            </w:pPr>
            <w:r w:rsidRPr="00FD551E">
              <w:t>Souhrn za minulé období</w:t>
            </w:r>
            <w:r>
              <w:t xml:space="preserve"> </w:t>
            </w:r>
            <w:r w:rsidRPr="00FD551E">
              <w:t xml:space="preserve">– ukončené/prováděné činnosti, </w:t>
            </w:r>
          </w:p>
          <w:p w14:paraId="0986D41B" w14:textId="77777777" w:rsidR="008C7C75" w:rsidRPr="00FD551E" w:rsidRDefault="008C7C75" w:rsidP="008C7C75">
            <w:pPr>
              <w:pStyle w:val="Odstavecseseznamem"/>
              <w:numPr>
                <w:ilvl w:val="0"/>
                <w:numId w:val="32"/>
              </w:numPr>
            </w:pPr>
            <w:r w:rsidRPr="00FD551E">
              <w:t xml:space="preserve">Hlavní rizika, </w:t>
            </w:r>
          </w:p>
          <w:p w14:paraId="1483CC81" w14:textId="77777777" w:rsidR="008C7C75" w:rsidRPr="00FD551E" w:rsidRDefault="008C7C75" w:rsidP="008C7C75">
            <w:pPr>
              <w:pStyle w:val="Odstavecseseznamem"/>
              <w:numPr>
                <w:ilvl w:val="0"/>
                <w:numId w:val="32"/>
              </w:numPr>
            </w:pPr>
            <w:r w:rsidRPr="00FD551E">
              <w:t xml:space="preserve">Požadavky na součinnost, </w:t>
            </w:r>
          </w:p>
          <w:p w14:paraId="1F492949" w14:textId="77777777" w:rsidR="008C7C75" w:rsidRPr="00FD551E" w:rsidRDefault="008C7C75" w:rsidP="008C7C75">
            <w:pPr>
              <w:pStyle w:val="Odstavecseseznamem"/>
              <w:numPr>
                <w:ilvl w:val="0"/>
                <w:numId w:val="32"/>
              </w:numPr>
            </w:pPr>
            <w:r w:rsidRPr="00FD551E">
              <w:t xml:space="preserve">Změny, </w:t>
            </w:r>
          </w:p>
          <w:p w14:paraId="54C1A6BE" w14:textId="77777777" w:rsidR="008C7C75" w:rsidRPr="00FD551E" w:rsidRDefault="008C7C75" w:rsidP="008C7C75">
            <w:pPr>
              <w:pStyle w:val="Odstavecseseznamem"/>
              <w:numPr>
                <w:ilvl w:val="0"/>
                <w:numId w:val="32"/>
              </w:numPr>
            </w:pPr>
            <w:r w:rsidRPr="00FD551E">
              <w:t xml:space="preserve">Harmonogram, </w:t>
            </w:r>
          </w:p>
          <w:p w14:paraId="24269CF8" w14:textId="77777777" w:rsidR="008C7C75" w:rsidRPr="00FD551E" w:rsidRDefault="008C7C75" w:rsidP="008C7C75">
            <w:pPr>
              <w:pStyle w:val="Odstavecseseznamem"/>
              <w:numPr>
                <w:ilvl w:val="0"/>
                <w:numId w:val="32"/>
              </w:numPr>
            </w:pPr>
            <w:r w:rsidRPr="00FD551E">
              <w:t xml:space="preserve">Úkoly, </w:t>
            </w:r>
          </w:p>
          <w:p w14:paraId="786096AE" w14:textId="77777777" w:rsidR="008C7C75" w:rsidRPr="00FD551E" w:rsidRDefault="008C7C75" w:rsidP="008C7C75">
            <w:pPr>
              <w:pStyle w:val="Odstavecseseznamem"/>
              <w:numPr>
                <w:ilvl w:val="0"/>
                <w:numId w:val="32"/>
              </w:numPr>
            </w:pPr>
            <w:r w:rsidRPr="00FD551E">
              <w:t xml:space="preserve">Sporné otázky /problémy/témata, </w:t>
            </w:r>
          </w:p>
          <w:p w14:paraId="2C818115" w14:textId="77777777" w:rsidR="008C7C75" w:rsidRPr="00FD551E" w:rsidRDefault="008C7C75" w:rsidP="008C7C75">
            <w:pPr>
              <w:pStyle w:val="Odstavecseseznamem"/>
              <w:numPr>
                <w:ilvl w:val="0"/>
                <w:numId w:val="32"/>
              </w:numPr>
            </w:pPr>
            <w:r w:rsidRPr="00FD551E">
              <w:t>Hlavní plánované aktivity na další období</w:t>
            </w:r>
          </w:p>
          <w:p w14:paraId="68DAE04B" w14:textId="7F41BD72" w:rsidR="008C7C75" w:rsidRPr="00FD551E" w:rsidRDefault="008C7C75" w:rsidP="008C7C75">
            <w:pPr>
              <w:spacing w:after="0" w:line="240" w:lineRule="auto"/>
              <w:ind w:right="74"/>
              <w:rPr>
                <w:rFonts w:cs="Arial"/>
              </w:rPr>
            </w:pPr>
            <w:r>
              <w:t xml:space="preserve">Na jednání </w:t>
            </w:r>
            <w:r w:rsidRPr="00FD551E">
              <w:t xml:space="preserve">HTP </w:t>
            </w:r>
            <w:r>
              <w:t>se</w:t>
            </w:r>
            <w:r w:rsidRPr="00FD551E">
              <w:t xml:space="preserve"> pořizuje zápis, který zpracovává a předkládá k odsouhlasení Poskytovatel.</w:t>
            </w:r>
          </w:p>
        </w:tc>
      </w:tr>
      <w:tr w:rsidR="008C7C75" w:rsidRPr="00FD551E" w14:paraId="3B849A32" w14:textId="77777777" w:rsidTr="008C7C75">
        <w:trPr>
          <w:trHeight w:val="692"/>
        </w:trPr>
        <w:tc>
          <w:tcPr>
            <w:tcW w:w="1843" w:type="dxa"/>
            <w:shd w:val="clear" w:color="auto" w:fill="AEEAC1"/>
          </w:tcPr>
          <w:p w14:paraId="777E0F93" w14:textId="302195C1" w:rsidR="008C7C75" w:rsidRPr="00FD551E" w:rsidRDefault="008C7C75" w:rsidP="008C7C75">
            <w:pPr>
              <w:jc w:val="left"/>
              <w:rPr>
                <w:rFonts w:cs="Arial"/>
                <w:b/>
                <w:bCs/>
              </w:rPr>
            </w:pPr>
            <w:r>
              <w:rPr>
                <w:rFonts w:cs="Arial"/>
                <w:b/>
                <w:bCs/>
              </w:rPr>
              <w:t>Vyhodnocovací období</w:t>
            </w:r>
          </w:p>
        </w:tc>
        <w:tc>
          <w:tcPr>
            <w:tcW w:w="7221" w:type="dxa"/>
          </w:tcPr>
          <w:p w14:paraId="3A286A59" w14:textId="137ADCFD" w:rsidR="008C7C75" w:rsidRPr="00FD551E" w:rsidRDefault="008C7C75" w:rsidP="008C7C75">
            <w:r>
              <w:t>1 kalendářní měsíc</w:t>
            </w:r>
          </w:p>
        </w:tc>
      </w:tr>
      <w:tr w:rsidR="00CC04F4" w:rsidRPr="00FD551E" w14:paraId="7301327A" w14:textId="77777777" w:rsidTr="008C7C75">
        <w:trPr>
          <w:trHeight w:val="550"/>
        </w:trPr>
        <w:tc>
          <w:tcPr>
            <w:tcW w:w="1843" w:type="dxa"/>
            <w:shd w:val="clear" w:color="auto" w:fill="AEEAC1"/>
          </w:tcPr>
          <w:p w14:paraId="604A29CF" w14:textId="77777777" w:rsidR="00CC04F4" w:rsidRPr="00FD551E" w:rsidRDefault="00CC04F4" w:rsidP="00CC04F4">
            <w:pPr>
              <w:jc w:val="left"/>
              <w:rPr>
                <w:rFonts w:cs="Arial"/>
                <w:b/>
                <w:bCs/>
              </w:rPr>
            </w:pPr>
            <w:r w:rsidRPr="00FD551E">
              <w:rPr>
                <w:rFonts w:cs="Arial"/>
                <w:b/>
                <w:bCs/>
              </w:rPr>
              <w:t>Metriky</w:t>
            </w:r>
          </w:p>
        </w:tc>
        <w:tc>
          <w:tcPr>
            <w:tcW w:w="7221" w:type="dxa"/>
          </w:tcPr>
          <w:p w14:paraId="1832E17D" w14:textId="476CFCD5" w:rsidR="00CC04F4" w:rsidRPr="00FD551E" w:rsidRDefault="008C7C75" w:rsidP="00CC04F4">
            <w:pPr>
              <w:spacing w:after="0" w:line="240" w:lineRule="auto"/>
              <w:ind w:right="74"/>
              <w:rPr>
                <w:rFonts w:cs="Arial"/>
              </w:rPr>
            </w:pPr>
            <w:r>
              <w:rPr>
                <w:rFonts w:cs="Arial"/>
              </w:rPr>
              <w:t>Výkon řídících struktur Poskytovatele v rámci stanovených struktur projektu.</w:t>
            </w:r>
          </w:p>
        </w:tc>
      </w:tr>
      <w:tr w:rsidR="00CC04F4" w:rsidRPr="00FD551E" w14:paraId="71D6C09E" w14:textId="77777777" w:rsidTr="00CC04F4">
        <w:trPr>
          <w:trHeight w:val="745"/>
        </w:trPr>
        <w:tc>
          <w:tcPr>
            <w:tcW w:w="1843" w:type="dxa"/>
            <w:shd w:val="clear" w:color="auto" w:fill="AEEAC1"/>
          </w:tcPr>
          <w:p w14:paraId="0FFA69C2" w14:textId="77777777" w:rsidR="00CC04F4" w:rsidRPr="00FD551E" w:rsidRDefault="00CC04F4" w:rsidP="00CC04F4">
            <w:pPr>
              <w:jc w:val="left"/>
              <w:rPr>
                <w:rFonts w:cs="Arial"/>
                <w:b/>
                <w:bCs/>
              </w:rPr>
            </w:pPr>
            <w:r w:rsidRPr="00FD551E">
              <w:rPr>
                <w:rFonts w:cs="Arial"/>
                <w:b/>
                <w:bCs/>
              </w:rPr>
              <w:t>Minimální hodnoty</w:t>
            </w:r>
          </w:p>
        </w:tc>
        <w:tc>
          <w:tcPr>
            <w:tcW w:w="7221" w:type="dxa"/>
          </w:tcPr>
          <w:p w14:paraId="14B7FFA3" w14:textId="77777777" w:rsidR="00CC04F4" w:rsidRPr="00FD551E" w:rsidRDefault="00CC04F4" w:rsidP="00CC04F4">
            <w:pPr>
              <w:spacing w:after="0" w:line="240" w:lineRule="auto"/>
              <w:ind w:right="74"/>
              <w:rPr>
                <w:rFonts w:cs="Arial"/>
              </w:rPr>
            </w:pPr>
            <w:r w:rsidRPr="00FD551E">
              <w:rPr>
                <w:rFonts w:cs="Arial"/>
              </w:rPr>
              <w:t>Nestanovují se</w:t>
            </w:r>
          </w:p>
        </w:tc>
      </w:tr>
      <w:tr w:rsidR="00CC04F4" w:rsidRPr="00FD551E" w14:paraId="67EE5D9D" w14:textId="77777777" w:rsidTr="008C7C75">
        <w:trPr>
          <w:trHeight w:val="664"/>
        </w:trPr>
        <w:tc>
          <w:tcPr>
            <w:tcW w:w="1843" w:type="dxa"/>
            <w:shd w:val="clear" w:color="auto" w:fill="AEEAC1"/>
          </w:tcPr>
          <w:p w14:paraId="56A85446" w14:textId="77777777" w:rsidR="00CC04F4" w:rsidRPr="00FD551E" w:rsidRDefault="00CC04F4" w:rsidP="00CC04F4">
            <w:pPr>
              <w:jc w:val="left"/>
              <w:rPr>
                <w:rFonts w:cs="Arial"/>
                <w:b/>
                <w:bCs/>
              </w:rPr>
            </w:pPr>
            <w:r w:rsidRPr="00FD551E">
              <w:rPr>
                <w:rFonts w:cs="Arial"/>
                <w:b/>
                <w:bCs/>
              </w:rPr>
              <w:t>Dostupnost služby</w:t>
            </w:r>
          </w:p>
        </w:tc>
        <w:tc>
          <w:tcPr>
            <w:tcW w:w="7221" w:type="dxa"/>
          </w:tcPr>
          <w:p w14:paraId="12B5EA68" w14:textId="1C88C468" w:rsidR="00CC04F4" w:rsidRPr="00FD551E" w:rsidRDefault="00CC04F4" w:rsidP="008C7C75">
            <w:pPr>
              <w:spacing w:after="0" w:line="240" w:lineRule="auto"/>
              <w:ind w:right="74"/>
              <w:rPr>
                <w:rFonts w:cs="Arial"/>
              </w:rPr>
            </w:pPr>
            <w:r w:rsidRPr="00FD551E">
              <w:rPr>
                <w:rFonts w:cs="Arial"/>
              </w:rPr>
              <w:t xml:space="preserve">V pracovní dny od 8:00 do 16:30 hodin </w:t>
            </w:r>
          </w:p>
        </w:tc>
      </w:tr>
      <w:tr w:rsidR="00CC04F4" w:rsidRPr="00FD551E" w14:paraId="500F0591" w14:textId="77777777" w:rsidTr="00CC04F4">
        <w:trPr>
          <w:trHeight w:val="550"/>
        </w:trPr>
        <w:tc>
          <w:tcPr>
            <w:tcW w:w="1843" w:type="dxa"/>
            <w:shd w:val="clear" w:color="auto" w:fill="AEEAC1"/>
          </w:tcPr>
          <w:p w14:paraId="3E8A34F7" w14:textId="77777777" w:rsidR="00CC04F4" w:rsidRPr="00FD551E" w:rsidRDefault="00CC04F4" w:rsidP="00CC04F4">
            <w:pPr>
              <w:jc w:val="left"/>
              <w:rPr>
                <w:rFonts w:cs="Arial"/>
                <w:b/>
                <w:bCs/>
              </w:rPr>
            </w:pPr>
            <w:r w:rsidRPr="00FD551E">
              <w:rPr>
                <w:rFonts w:cs="Arial"/>
                <w:b/>
                <w:bCs/>
              </w:rPr>
              <w:t>Rozsah poskytované služby</w:t>
            </w:r>
          </w:p>
        </w:tc>
        <w:tc>
          <w:tcPr>
            <w:tcW w:w="7221" w:type="dxa"/>
          </w:tcPr>
          <w:p w14:paraId="571EB4E8" w14:textId="024141DF" w:rsidR="00CC04F4" w:rsidRPr="00FD551E" w:rsidRDefault="008C7C75" w:rsidP="00CC04F4">
            <w:pPr>
              <w:spacing w:after="0" w:line="240" w:lineRule="auto"/>
              <w:ind w:right="74"/>
              <w:jc w:val="left"/>
              <w:rPr>
                <w:rFonts w:cs="Arial"/>
              </w:rPr>
            </w:pPr>
            <w:r>
              <w:rPr>
                <w:rFonts w:cs="Arial"/>
              </w:rPr>
              <w:t xml:space="preserve">Služba je zajišťována </w:t>
            </w:r>
            <w:r w:rsidRPr="00FD551E">
              <w:rPr>
                <w:rFonts w:cs="Arial"/>
              </w:rPr>
              <w:t>specializovanými pracovníky Poskytovatele</w:t>
            </w:r>
          </w:p>
        </w:tc>
      </w:tr>
      <w:tr w:rsidR="00CC04F4" w:rsidRPr="00FD551E" w14:paraId="1E2B0466" w14:textId="77777777" w:rsidTr="00CC04F4">
        <w:trPr>
          <w:trHeight w:val="409"/>
        </w:trPr>
        <w:tc>
          <w:tcPr>
            <w:tcW w:w="1843" w:type="dxa"/>
            <w:shd w:val="clear" w:color="auto" w:fill="AEEAC1"/>
          </w:tcPr>
          <w:p w14:paraId="72B915D9" w14:textId="77777777" w:rsidR="00CC04F4" w:rsidRPr="00FD551E" w:rsidRDefault="00CC04F4" w:rsidP="00CC04F4">
            <w:pPr>
              <w:jc w:val="left"/>
              <w:rPr>
                <w:rFonts w:cs="Arial"/>
                <w:b/>
                <w:bCs/>
              </w:rPr>
            </w:pPr>
            <w:r w:rsidRPr="00FD551E">
              <w:rPr>
                <w:rFonts w:cs="Arial"/>
                <w:b/>
                <w:bCs/>
              </w:rPr>
              <w:t>Reporting služby</w:t>
            </w:r>
          </w:p>
        </w:tc>
        <w:tc>
          <w:tcPr>
            <w:tcW w:w="7221" w:type="dxa"/>
          </w:tcPr>
          <w:p w14:paraId="41881F71" w14:textId="17DAE2BB" w:rsidR="00CC04F4" w:rsidRPr="00FD551E" w:rsidRDefault="007C0054" w:rsidP="00DD3D14">
            <w:pPr>
              <w:spacing w:after="0" w:line="240" w:lineRule="auto"/>
              <w:ind w:right="74"/>
              <w:jc w:val="left"/>
              <w:rPr>
                <w:rFonts w:cs="Arial"/>
              </w:rPr>
            </w:pPr>
            <w:r>
              <w:t>Protokol o poskytnuté službě</w:t>
            </w:r>
          </w:p>
        </w:tc>
      </w:tr>
      <w:tr w:rsidR="00CC04F4" w:rsidRPr="00FD551E" w14:paraId="416B42DA" w14:textId="77777777" w:rsidTr="00CC04F4">
        <w:trPr>
          <w:trHeight w:val="315"/>
        </w:trPr>
        <w:tc>
          <w:tcPr>
            <w:tcW w:w="1843" w:type="dxa"/>
            <w:shd w:val="clear" w:color="auto" w:fill="AEEAC1"/>
          </w:tcPr>
          <w:p w14:paraId="7354886E" w14:textId="77777777" w:rsidR="00CC04F4" w:rsidRPr="00FD551E" w:rsidRDefault="00CC04F4" w:rsidP="00CC04F4">
            <w:pPr>
              <w:jc w:val="left"/>
              <w:rPr>
                <w:rFonts w:cs="Arial"/>
                <w:b/>
                <w:bCs/>
              </w:rPr>
            </w:pPr>
            <w:r w:rsidRPr="00FD551E">
              <w:rPr>
                <w:rFonts w:cs="Arial"/>
                <w:b/>
                <w:bCs/>
              </w:rPr>
              <w:t>Smluvní pokuta</w:t>
            </w:r>
          </w:p>
        </w:tc>
        <w:tc>
          <w:tcPr>
            <w:tcW w:w="7221" w:type="dxa"/>
          </w:tcPr>
          <w:p w14:paraId="0D02D9D4" w14:textId="714555DB" w:rsidR="00CC04F4" w:rsidRPr="00FD551E" w:rsidRDefault="008C7C75" w:rsidP="00CC04F4">
            <w:pPr>
              <w:spacing w:line="240" w:lineRule="auto"/>
              <w:rPr>
                <w:rFonts w:cs="Arial"/>
              </w:rPr>
            </w:pPr>
            <w:proofErr w:type="gramStart"/>
            <w:r>
              <w:rPr>
                <w:b/>
              </w:rPr>
              <w:t>2</w:t>
            </w:r>
            <w:r w:rsidRPr="00A04E31">
              <w:rPr>
                <w:b/>
              </w:rPr>
              <w:t>%</w:t>
            </w:r>
            <w:proofErr w:type="gramEnd"/>
            <w:r w:rsidRPr="00A04E31">
              <w:rPr>
                <w:b/>
              </w:rPr>
              <w:t xml:space="preserve"> z paušální ceny</w:t>
            </w:r>
            <w:r>
              <w:t xml:space="preserve"> za vyhodnocovací období za každé prokazatelné porušení povinností vyplývajících z tohoto katalogového listu.</w:t>
            </w:r>
          </w:p>
        </w:tc>
      </w:tr>
    </w:tbl>
    <w:tbl>
      <w:tblPr>
        <w:tblStyle w:val="Mkatabulky"/>
        <w:tblW w:w="9057" w:type="dxa"/>
        <w:tblInd w:w="9" w:type="dxa"/>
        <w:tblLayout w:type="fixed"/>
        <w:tblLook w:val="04A0" w:firstRow="1" w:lastRow="0" w:firstColumn="1" w:lastColumn="0" w:noHBand="0" w:noVBand="1"/>
      </w:tblPr>
      <w:tblGrid>
        <w:gridCol w:w="2497"/>
        <w:gridCol w:w="2253"/>
        <w:gridCol w:w="2133"/>
        <w:gridCol w:w="2174"/>
      </w:tblGrid>
      <w:tr w:rsidR="00CC04F4" w:rsidRPr="00FD551E" w14:paraId="073DAE55" w14:textId="77777777" w:rsidTr="00CC04F4">
        <w:trPr>
          <w:cantSplit/>
          <w:trHeight w:val="408"/>
        </w:trPr>
        <w:tc>
          <w:tcPr>
            <w:tcW w:w="9057" w:type="dxa"/>
            <w:gridSpan w:val="4"/>
            <w:tcBorders>
              <w:bottom w:val="single" w:sz="4" w:space="0" w:color="auto"/>
            </w:tcBorders>
            <w:shd w:val="clear" w:color="auto" w:fill="006600"/>
            <w:vAlign w:val="center"/>
          </w:tcPr>
          <w:p w14:paraId="4AF07ECF" w14:textId="77777777" w:rsidR="00CC04F4" w:rsidRPr="00FD551E" w:rsidRDefault="00CC04F4" w:rsidP="00CC04F4">
            <w:pPr>
              <w:spacing w:before="0" w:after="0"/>
              <w:jc w:val="left"/>
            </w:pPr>
            <w:r w:rsidRPr="00FD551E">
              <w:t>Cena služby</w:t>
            </w:r>
          </w:p>
        </w:tc>
      </w:tr>
      <w:tr w:rsidR="00CC04F4" w:rsidRPr="00FD551E" w14:paraId="1EF57FAA" w14:textId="77777777" w:rsidTr="00CC04F4">
        <w:trPr>
          <w:cantSplit/>
          <w:trHeight w:val="410"/>
        </w:trPr>
        <w:tc>
          <w:tcPr>
            <w:tcW w:w="2497" w:type="dxa"/>
            <w:tcBorders>
              <w:bottom w:val="single" w:sz="4" w:space="0" w:color="auto"/>
            </w:tcBorders>
            <w:shd w:val="clear" w:color="auto" w:fill="AEEAC1"/>
            <w:vAlign w:val="center"/>
          </w:tcPr>
          <w:p w14:paraId="6455B244" w14:textId="77777777" w:rsidR="00CC04F4" w:rsidRPr="00FD551E" w:rsidRDefault="00CC04F4" w:rsidP="00CC04F4">
            <w:pPr>
              <w:spacing w:before="0" w:after="0"/>
              <w:jc w:val="left"/>
            </w:pPr>
            <w:r w:rsidRPr="00FD551E">
              <w:t>Položka</w:t>
            </w:r>
          </w:p>
        </w:tc>
        <w:tc>
          <w:tcPr>
            <w:tcW w:w="2253" w:type="dxa"/>
            <w:tcBorders>
              <w:bottom w:val="single" w:sz="4" w:space="0" w:color="auto"/>
            </w:tcBorders>
            <w:shd w:val="clear" w:color="auto" w:fill="AEEAC1"/>
            <w:vAlign w:val="center"/>
          </w:tcPr>
          <w:p w14:paraId="46A4CE2B" w14:textId="77777777" w:rsidR="00CC04F4" w:rsidRPr="00FD551E" w:rsidRDefault="00CC04F4" w:rsidP="00DD458A">
            <w:pPr>
              <w:spacing w:before="0" w:after="0"/>
              <w:jc w:val="center"/>
            </w:pPr>
            <w:r w:rsidRPr="00FD551E">
              <w:t>Cena v Kč bez DPH</w:t>
            </w:r>
          </w:p>
        </w:tc>
        <w:tc>
          <w:tcPr>
            <w:tcW w:w="2133" w:type="dxa"/>
            <w:tcBorders>
              <w:bottom w:val="single" w:sz="4" w:space="0" w:color="auto"/>
            </w:tcBorders>
            <w:shd w:val="clear" w:color="auto" w:fill="AEEAC1"/>
            <w:vAlign w:val="center"/>
          </w:tcPr>
          <w:p w14:paraId="3B861DF0" w14:textId="77777777" w:rsidR="00CC04F4" w:rsidRPr="00FD551E" w:rsidRDefault="00CC04F4" w:rsidP="00DD458A">
            <w:pPr>
              <w:spacing w:before="0" w:after="0"/>
              <w:jc w:val="center"/>
            </w:pPr>
            <w:r w:rsidRPr="00FD551E">
              <w:t xml:space="preserve">DPH </w:t>
            </w:r>
            <w:proofErr w:type="gramStart"/>
            <w:r w:rsidRPr="00FD551E">
              <w:t>21%</w:t>
            </w:r>
            <w:proofErr w:type="gramEnd"/>
          </w:p>
        </w:tc>
        <w:tc>
          <w:tcPr>
            <w:tcW w:w="2174" w:type="dxa"/>
            <w:tcBorders>
              <w:bottom w:val="single" w:sz="4" w:space="0" w:color="auto"/>
            </w:tcBorders>
            <w:shd w:val="clear" w:color="auto" w:fill="AEEAC1"/>
            <w:vAlign w:val="center"/>
          </w:tcPr>
          <w:p w14:paraId="2337639F" w14:textId="77777777" w:rsidR="00CC04F4" w:rsidRPr="00FD551E" w:rsidRDefault="00CC04F4" w:rsidP="00DD458A">
            <w:pPr>
              <w:spacing w:before="0" w:after="0"/>
              <w:jc w:val="center"/>
            </w:pPr>
            <w:r w:rsidRPr="00FD551E">
              <w:t>Cena v Kč s DPH</w:t>
            </w:r>
          </w:p>
        </w:tc>
      </w:tr>
      <w:tr w:rsidR="00695EAD" w:rsidRPr="00FD551E" w14:paraId="79667691" w14:textId="77777777" w:rsidTr="00695EAD">
        <w:trPr>
          <w:cantSplit/>
          <w:trHeight w:val="666"/>
        </w:trPr>
        <w:tc>
          <w:tcPr>
            <w:tcW w:w="2497" w:type="dxa"/>
            <w:tcBorders>
              <w:bottom w:val="single" w:sz="4" w:space="0" w:color="auto"/>
            </w:tcBorders>
            <w:shd w:val="clear" w:color="auto" w:fill="auto"/>
            <w:vAlign w:val="center"/>
          </w:tcPr>
          <w:p w14:paraId="4B2F5960" w14:textId="77777777" w:rsidR="00695EAD" w:rsidRPr="00FD551E" w:rsidRDefault="00695EAD" w:rsidP="00CC04F4">
            <w:pPr>
              <w:spacing w:before="0" w:after="0"/>
              <w:jc w:val="left"/>
            </w:pPr>
            <w:r w:rsidRPr="00FD551E">
              <w:t>Paušální cena za vyhodnocovací období</w:t>
            </w:r>
          </w:p>
        </w:tc>
        <w:tc>
          <w:tcPr>
            <w:tcW w:w="2253" w:type="dxa"/>
            <w:tcBorders>
              <w:bottom w:val="single" w:sz="4" w:space="0" w:color="auto"/>
            </w:tcBorders>
            <w:shd w:val="clear" w:color="auto" w:fill="auto"/>
            <w:vAlign w:val="center"/>
          </w:tcPr>
          <w:p w14:paraId="72848FB0" w14:textId="7879B2A2" w:rsidR="00695EAD" w:rsidRPr="00695EAD" w:rsidRDefault="00944CB8" w:rsidP="00DD458A">
            <w:pPr>
              <w:spacing w:before="0" w:after="0"/>
              <w:jc w:val="cente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c>
          <w:tcPr>
            <w:tcW w:w="2133" w:type="dxa"/>
            <w:tcBorders>
              <w:bottom w:val="single" w:sz="4" w:space="0" w:color="auto"/>
            </w:tcBorders>
            <w:shd w:val="clear" w:color="auto" w:fill="auto"/>
            <w:vAlign w:val="center"/>
          </w:tcPr>
          <w:p w14:paraId="62894EA4" w14:textId="6FC6DD6C" w:rsidR="00695EAD" w:rsidRPr="00695EAD" w:rsidRDefault="00944CB8" w:rsidP="00DD458A">
            <w:pPr>
              <w:spacing w:before="0" w:after="0"/>
              <w:jc w:val="cente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c>
          <w:tcPr>
            <w:tcW w:w="2174" w:type="dxa"/>
            <w:tcBorders>
              <w:bottom w:val="single" w:sz="4" w:space="0" w:color="auto"/>
            </w:tcBorders>
            <w:shd w:val="clear" w:color="auto" w:fill="auto"/>
            <w:vAlign w:val="center"/>
          </w:tcPr>
          <w:p w14:paraId="489AE596" w14:textId="3B2959B7" w:rsidR="00695EAD" w:rsidRPr="00695EAD" w:rsidRDefault="00944CB8" w:rsidP="00DD458A">
            <w:pPr>
              <w:spacing w:before="0" w:after="0"/>
              <w:jc w:val="cente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r>
    </w:tbl>
    <w:p w14:paraId="6ADF9907" w14:textId="77777777" w:rsidR="00CC04F4" w:rsidRPr="00FD551E" w:rsidRDefault="00CC04F4" w:rsidP="00CC04F4">
      <w:pPr>
        <w:rPr>
          <w:highlight w:val="yellow"/>
        </w:rPr>
      </w:pPr>
    </w:p>
    <w:p w14:paraId="158A54FC" w14:textId="77777777" w:rsidR="000A3615" w:rsidRPr="00FD551E" w:rsidRDefault="000A3615" w:rsidP="0059580B">
      <w:pPr>
        <w:rPr>
          <w:highlight w:val="yellow"/>
        </w:rPr>
      </w:pPr>
    </w:p>
    <w:tbl>
      <w:tblPr>
        <w:tblW w:w="0" w:type="auto"/>
        <w:tblLayout w:type="fixed"/>
        <w:tblLook w:val="01E0" w:firstRow="1" w:lastRow="1" w:firstColumn="1" w:lastColumn="1" w:noHBand="0" w:noVBand="0"/>
      </w:tblPr>
      <w:tblGrid>
        <w:gridCol w:w="9069"/>
      </w:tblGrid>
      <w:tr w:rsidR="008B43F4" w:rsidRPr="00FD551E" w14:paraId="4FBB8FCE" w14:textId="77777777" w:rsidTr="00645C91">
        <w:trPr>
          <w:trHeight w:val="284"/>
        </w:trPr>
        <w:tc>
          <w:tcPr>
            <w:tcW w:w="9069" w:type="dxa"/>
            <w:shd w:val="clear" w:color="auto" w:fill="006600"/>
            <w:vAlign w:val="center"/>
          </w:tcPr>
          <w:p w14:paraId="3F919986" w14:textId="07C9F5BB" w:rsidR="008B43F4" w:rsidRPr="00FD551E" w:rsidRDefault="008B43F4" w:rsidP="008B43F4">
            <w:pPr>
              <w:pStyle w:val="Nadpis1"/>
            </w:pPr>
            <w:bookmarkStart w:id="13" w:name="_Toc14796099"/>
            <w:r w:rsidRPr="00FD551E">
              <w:t>Katalogové listy – Jednorázové služby</w:t>
            </w:r>
            <w:bookmarkEnd w:id="13"/>
          </w:p>
        </w:tc>
      </w:tr>
    </w:tbl>
    <w:p w14:paraId="72547E5A" w14:textId="75371EF6" w:rsidR="00A271A8" w:rsidRPr="00FD551E" w:rsidRDefault="00A271A8" w:rsidP="00330F50">
      <w:pPr>
        <w:pStyle w:val="Nadpis2"/>
      </w:pPr>
      <w:bookmarkStart w:id="14" w:name="_Toc14796100"/>
      <w:r w:rsidRPr="00FD551E">
        <w:t xml:space="preserve">Služba </w:t>
      </w:r>
      <w:r w:rsidR="00330F50">
        <w:t>č. 07</w:t>
      </w:r>
      <w:r w:rsidRPr="00FD551E">
        <w:t xml:space="preserve"> – Řízené ukončení poskytování služeb"</w:t>
      </w:r>
      <w:bookmarkEnd w:id="14"/>
      <w:r w:rsidRPr="00FD551E">
        <w:t xml:space="preserve"> </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3"/>
        <w:gridCol w:w="7221"/>
      </w:tblGrid>
      <w:tr w:rsidR="00F10527" w:rsidRPr="00FD551E" w14:paraId="2E78FBDE" w14:textId="77777777" w:rsidTr="00663A38">
        <w:trPr>
          <w:trHeight w:val="315"/>
          <w:tblHeader/>
        </w:trPr>
        <w:tc>
          <w:tcPr>
            <w:tcW w:w="1843" w:type="dxa"/>
            <w:shd w:val="clear" w:color="auto" w:fill="006600"/>
            <w:noWrap/>
            <w:vAlign w:val="center"/>
          </w:tcPr>
          <w:p w14:paraId="1A48D5B3" w14:textId="77777777" w:rsidR="00F10527" w:rsidRPr="00FD551E" w:rsidRDefault="00F10527" w:rsidP="00663A38">
            <w:pPr>
              <w:rPr>
                <w:rFonts w:cs="Arial"/>
                <w:b/>
              </w:rPr>
            </w:pPr>
            <w:r w:rsidRPr="00FD551E">
              <w:rPr>
                <w:rFonts w:cs="Arial"/>
                <w:b/>
              </w:rPr>
              <w:t>Název služby</w:t>
            </w:r>
          </w:p>
        </w:tc>
        <w:tc>
          <w:tcPr>
            <w:tcW w:w="7221" w:type="dxa"/>
            <w:shd w:val="clear" w:color="auto" w:fill="006600"/>
            <w:vAlign w:val="center"/>
          </w:tcPr>
          <w:p w14:paraId="773B0698" w14:textId="1374F7B2" w:rsidR="00F10527" w:rsidRPr="00FD551E" w:rsidRDefault="00D706FA" w:rsidP="00663A38">
            <w:pPr>
              <w:rPr>
                <w:rFonts w:cs="Arial"/>
                <w:b/>
              </w:rPr>
            </w:pPr>
            <w:r w:rsidRPr="00D706FA">
              <w:rPr>
                <w:rFonts w:cs="Arial"/>
                <w:b/>
              </w:rPr>
              <w:t>Řízené ukončení poskytování služeb</w:t>
            </w:r>
          </w:p>
        </w:tc>
      </w:tr>
      <w:tr w:rsidR="00F10527" w:rsidRPr="00FD551E" w14:paraId="2033C20A" w14:textId="77777777" w:rsidTr="00663A38">
        <w:trPr>
          <w:trHeight w:val="408"/>
          <w:tblHeader/>
        </w:trPr>
        <w:tc>
          <w:tcPr>
            <w:tcW w:w="1843" w:type="dxa"/>
            <w:tcBorders>
              <w:bottom w:val="single" w:sz="6" w:space="0" w:color="auto"/>
            </w:tcBorders>
            <w:shd w:val="clear" w:color="auto" w:fill="AEEAC1"/>
          </w:tcPr>
          <w:p w14:paraId="726336DB" w14:textId="77777777" w:rsidR="00F10527" w:rsidRPr="00FD551E" w:rsidRDefault="00F10527" w:rsidP="00663A38">
            <w:pPr>
              <w:rPr>
                <w:rFonts w:cs="Arial"/>
                <w:b/>
                <w:bCs/>
              </w:rPr>
            </w:pPr>
            <w:r w:rsidRPr="00FD551E">
              <w:rPr>
                <w:rFonts w:cs="Arial"/>
                <w:b/>
                <w:bCs/>
              </w:rPr>
              <w:t>Skupina služeb</w:t>
            </w:r>
          </w:p>
        </w:tc>
        <w:tc>
          <w:tcPr>
            <w:tcW w:w="7221" w:type="dxa"/>
            <w:shd w:val="clear" w:color="auto" w:fill="AEEAC1"/>
          </w:tcPr>
          <w:p w14:paraId="633C6D23" w14:textId="0F29E0DC" w:rsidR="00F10527" w:rsidRPr="00FD551E" w:rsidRDefault="00F10527" w:rsidP="00663A38">
            <w:pPr>
              <w:tabs>
                <w:tab w:val="left" w:pos="8102"/>
              </w:tabs>
              <w:rPr>
                <w:rFonts w:cs="Arial"/>
              </w:rPr>
            </w:pPr>
            <w:r>
              <w:rPr>
                <w:rFonts w:cs="Arial"/>
              </w:rPr>
              <w:t>Jednorázové služby</w:t>
            </w:r>
          </w:p>
        </w:tc>
      </w:tr>
      <w:tr w:rsidR="00F10527" w:rsidRPr="00FD551E" w14:paraId="2F85900F" w14:textId="77777777" w:rsidTr="00663A38">
        <w:trPr>
          <w:trHeight w:val="1157"/>
        </w:trPr>
        <w:tc>
          <w:tcPr>
            <w:tcW w:w="1843" w:type="dxa"/>
            <w:shd w:val="clear" w:color="auto" w:fill="AEEAC1"/>
          </w:tcPr>
          <w:p w14:paraId="7CA7C9CD" w14:textId="77777777" w:rsidR="00F10527" w:rsidRPr="00FD551E" w:rsidRDefault="00F10527" w:rsidP="00663A38">
            <w:pPr>
              <w:jc w:val="left"/>
              <w:rPr>
                <w:rFonts w:cs="Arial"/>
                <w:b/>
                <w:bCs/>
              </w:rPr>
            </w:pPr>
            <w:r w:rsidRPr="00FD551E">
              <w:rPr>
                <w:rFonts w:cs="Arial"/>
                <w:b/>
                <w:bCs/>
              </w:rPr>
              <w:t>Popis služby</w:t>
            </w:r>
          </w:p>
        </w:tc>
        <w:tc>
          <w:tcPr>
            <w:tcW w:w="7221" w:type="dxa"/>
          </w:tcPr>
          <w:p w14:paraId="4F3DCD02" w14:textId="77777777" w:rsidR="00663A38" w:rsidRPr="00FD551E" w:rsidRDefault="00663A38" w:rsidP="00663A38">
            <w:r w:rsidRPr="00FD551E">
              <w:t>Služba řízeného ukončení poskytování služeb se stanovuje za účelem provedení koordinovaného a procesně vymezeného postupu při ukončení smluvního vztahu s Poskytovatelem.</w:t>
            </w:r>
          </w:p>
          <w:p w14:paraId="4BF5CB50" w14:textId="067CE3D5" w:rsidR="00F10527" w:rsidRPr="00FD551E" w:rsidRDefault="00663A38" w:rsidP="00663A38">
            <w:pPr>
              <w:rPr>
                <w:rFonts w:cs="Arial"/>
              </w:rPr>
            </w:pPr>
            <w:r w:rsidRPr="00FD551E">
              <w:t xml:space="preserve">Tato jednorázová Služba probíhá paralelně s poskytováním všech ostatních </w:t>
            </w:r>
            <w:r>
              <w:t>s</w:t>
            </w:r>
            <w:r w:rsidRPr="00FD551E">
              <w:t>lužeb dle tohoto Katalogu služeb.</w:t>
            </w:r>
          </w:p>
        </w:tc>
      </w:tr>
      <w:tr w:rsidR="00F10527" w:rsidRPr="00FD551E" w14:paraId="70F6FD28" w14:textId="77777777" w:rsidTr="00663A38">
        <w:trPr>
          <w:trHeight w:val="1084"/>
        </w:trPr>
        <w:tc>
          <w:tcPr>
            <w:tcW w:w="1843" w:type="dxa"/>
            <w:shd w:val="clear" w:color="auto" w:fill="AEEAC1"/>
          </w:tcPr>
          <w:p w14:paraId="31F45AAE" w14:textId="77777777" w:rsidR="00F10527" w:rsidRPr="00FD551E" w:rsidRDefault="00F10527" w:rsidP="00663A38">
            <w:pPr>
              <w:jc w:val="left"/>
              <w:rPr>
                <w:rFonts w:cs="Arial"/>
                <w:b/>
                <w:bCs/>
              </w:rPr>
            </w:pPr>
            <w:r w:rsidRPr="00FD551E">
              <w:rPr>
                <w:rFonts w:cs="Arial"/>
                <w:b/>
                <w:bCs/>
              </w:rPr>
              <w:t>Obsah služby</w:t>
            </w:r>
          </w:p>
        </w:tc>
        <w:tc>
          <w:tcPr>
            <w:tcW w:w="7221" w:type="dxa"/>
          </w:tcPr>
          <w:p w14:paraId="1C04BADB" w14:textId="0D2C3C13" w:rsidR="00663A38" w:rsidRPr="00663A38" w:rsidRDefault="00663A38" w:rsidP="00663A38">
            <w:pPr>
              <w:rPr>
                <w:b/>
              </w:rPr>
            </w:pPr>
            <w:r w:rsidRPr="00663A38">
              <w:rPr>
                <w:b/>
              </w:rPr>
              <w:t>Příprava</w:t>
            </w:r>
            <w:r w:rsidR="00143F5D">
              <w:rPr>
                <w:b/>
              </w:rPr>
              <w:t xml:space="preserve"> a provedení</w:t>
            </w:r>
            <w:r w:rsidRPr="00663A38">
              <w:rPr>
                <w:b/>
              </w:rPr>
              <w:t xml:space="preserve"> Scénáře ukončení poskytování služeb</w:t>
            </w:r>
          </w:p>
          <w:p w14:paraId="36943355" w14:textId="3F29BD41" w:rsidR="00663A38" w:rsidRPr="00FD551E" w:rsidRDefault="00663A38" w:rsidP="00663A38">
            <w:r w:rsidRPr="00FD551E">
              <w:t xml:space="preserve">V rámci řízeného ukončení poskytování Služeb musí Poskytovatel připravit detailní </w:t>
            </w:r>
            <w:r w:rsidRPr="00FD551E">
              <w:rPr>
                <w:b/>
              </w:rPr>
              <w:t>Scénář ukončení poskytování služeb</w:t>
            </w:r>
            <w:r w:rsidRPr="00FD551E">
              <w:t xml:space="preserve">, který bude obsahovat postup a harmonogram předávání (majetku, odpovědností, povinností, </w:t>
            </w:r>
            <w:proofErr w:type="gramStart"/>
            <w:r w:rsidRPr="00FD551E">
              <w:t>dokumentace,</w:t>
            </w:r>
            <w:proofErr w:type="gramEnd"/>
            <w:r w:rsidRPr="00FD551E">
              <w:t xml:space="preserve"> atd.) IS </w:t>
            </w:r>
            <w:r>
              <w:t>AGIS</w:t>
            </w:r>
            <w:r w:rsidRPr="00FD551E">
              <w:t xml:space="preserve"> zpět Objednateli nebo novému provozovateli služeb za účasti Objednatele. Přesné vymezení subjektu, kterému bude IS </w:t>
            </w:r>
            <w:r>
              <w:t>AGIS</w:t>
            </w:r>
            <w:r w:rsidRPr="00FD551E">
              <w:t xml:space="preserve"> předáván</w:t>
            </w:r>
            <w:r>
              <w:t>,</w:t>
            </w:r>
            <w:r w:rsidRPr="00FD551E">
              <w:t xml:space="preserve"> stanoví Objednatel při zahájení této </w:t>
            </w:r>
            <w:r>
              <w:t>služby</w:t>
            </w:r>
            <w:r w:rsidRPr="00FD551E">
              <w:t>.</w:t>
            </w:r>
          </w:p>
          <w:p w14:paraId="6E82133A" w14:textId="77777777" w:rsidR="00663A38" w:rsidRPr="00FD551E" w:rsidRDefault="00663A38" w:rsidP="00663A38">
            <w:r w:rsidRPr="00FD551E">
              <w:t>Detailně bude Scénář ukončení poskytování služeb řešit zejména předání:</w:t>
            </w:r>
          </w:p>
          <w:p w14:paraId="0F287FA0" w14:textId="0EAE4D19" w:rsidR="00663A38" w:rsidRPr="00FD551E" w:rsidRDefault="00663A38" w:rsidP="00663A38">
            <w:pPr>
              <w:pStyle w:val="Odrazka1"/>
            </w:pPr>
            <w:r w:rsidRPr="00FD551E">
              <w:t xml:space="preserve">veškerých komponent IS </w:t>
            </w:r>
            <w:r>
              <w:t>AGIS</w:t>
            </w:r>
            <w:r w:rsidRPr="00FD551E">
              <w:t>, které jsou majetkem Objednatele a které Poskytovatel v průběhu účinnosti této Smlouvy provozoval, spravoval, rozvíjel a podporoval.</w:t>
            </w:r>
          </w:p>
          <w:p w14:paraId="1FB4D1CD" w14:textId="3F34F9B1" w:rsidR="00663A38" w:rsidRPr="00FD551E" w:rsidRDefault="00663A38" w:rsidP="00663A38">
            <w:pPr>
              <w:pStyle w:val="Odrazka1"/>
            </w:pPr>
            <w:r w:rsidRPr="00FD551E">
              <w:t xml:space="preserve">data a veškeré zálohy IS </w:t>
            </w:r>
            <w:r>
              <w:t>AGIS</w:t>
            </w:r>
            <w:r w:rsidRPr="00FD551E">
              <w:t xml:space="preserve">, které byly vytvořeny v rámci poskytování </w:t>
            </w:r>
            <w:r>
              <w:t>služeb</w:t>
            </w:r>
            <w:r w:rsidRPr="00FD551E">
              <w:t xml:space="preserve"> Poskytovatelem;</w:t>
            </w:r>
          </w:p>
          <w:p w14:paraId="76E1738B" w14:textId="56205FD3" w:rsidR="00663A38" w:rsidRPr="00FD551E" w:rsidRDefault="00663A38" w:rsidP="00663A38">
            <w:pPr>
              <w:pStyle w:val="Odrazka1"/>
            </w:pPr>
            <w:r w:rsidRPr="00FD551E">
              <w:t>projektovou, provozní a bezpečnostní dokumentaci převzatou, aktualizovanou a vy</w:t>
            </w:r>
            <w:r>
              <w:t>tvářenou v průběhu poskytování s</w:t>
            </w:r>
            <w:r w:rsidRPr="00FD551E">
              <w:t>lužeb;</w:t>
            </w:r>
          </w:p>
          <w:p w14:paraId="421AA60A" w14:textId="7B515AAF" w:rsidR="00663A38" w:rsidRPr="00FD551E" w:rsidRDefault="00663A38" w:rsidP="00663A38">
            <w:pPr>
              <w:pStyle w:val="Odrazka1"/>
            </w:pPr>
            <w:r w:rsidRPr="00FD551E">
              <w:t xml:space="preserve">záznamy (reporty, provozní deníky, auditní </w:t>
            </w:r>
            <w:proofErr w:type="gramStart"/>
            <w:r w:rsidRPr="00FD551E">
              <w:t>záznamy,</w:t>
            </w:r>
            <w:proofErr w:type="gramEnd"/>
            <w:r w:rsidRPr="00FD551E">
              <w:t xml:space="preserve"> atd.) v</w:t>
            </w:r>
            <w:r>
              <w:t>ytvořené v průběhu poskytování s</w:t>
            </w:r>
            <w:r w:rsidRPr="00FD551E">
              <w:t>lužeb;</w:t>
            </w:r>
          </w:p>
          <w:p w14:paraId="1360A1EE" w14:textId="422A73E7" w:rsidR="00663A38" w:rsidRPr="00FD551E" w:rsidRDefault="00663A38" w:rsidP="00663A38">
            <w:pPr>
              <w:pStyle w:val="Odrazka1"/>
            </w:pPr>
            <w:r w:rsidRPr="00FD551E">
              <w:t xml:space="preserve">znalostní báze, dat a záznamů pořízených v rámci </w:t>
            </w:r>
            <w:r w:rsidR="001B24F6">
              <w:t>S</w:t>
            </w:r>
            <w:r>
              <w:t>lužby</w:t>
            </w:r>
            <w:r w:rsidRPr="00FD551E">
              <w:t xml:space="preserve"> </w:t>
            </w:r>
            <w:r w:rsidR="001B24F6">
              <w:t xml:space="preserve">č. </w:t>
            </w:r>
            <w:r>
              <w:t>01</w:t>
            </w:r>
            <w:r w:rsidRPr="00FD551E">
              <w:t xml:space="preserve"> a to zejména na úrovni aplikace </w:t>
            </w:r>
            <w:r>
              <w:t>HelpDesk/</w:t>
            </w:r>
            <w:r w:rsidRPr="00FD551E">
              <w:t>ServiceDesk ta</w:t>
            </w:r>
            <w:r>
              <w:t>k, aby po ukončení poskytování s</w:t>
            </w:r>
            <w:r w:rsidRPr="00FD551E">
              <w:t xml:space="preserve">lužeb bylo zajištěno, že Objednatel disponuje kompletními a správnými informacemi a know-how v oblasti podpory IS </w:t>
            </w:r>
            <w:r>
              <w:t>AGIS</w:t>
            </w:r>
            <w:r w:rsidRPr="00FD551E">
              <w:t>.</w:t>
            </w:r>
          </w:p>
          <w:p w14:paraId="5848C3F8" w14:textId="77777777" w:rsidR="00663A38" w:rsidRPr="00FD551E" w:rsidRDefault="00663A38" w:rsidP="00663A38">
            <w:r w:rsidRPr="00FD551E">
              <w:t>Součástí Scénáře ukončení poskytování služeb zároveň musí být řešení následujících oblastí:</w:t>
            </w:r>
          </w:p>
          <w:p w14:paraId="7A92DA08" w14:textId="53EB6DB3" w:rsidR="00663A38" w:rsidRPr="00FD551E" w:rsidRDefault="00663A38" w:rsidP="00663A38">
            <w:pPr>
              <w:pStyle w:val="Odrazka1"/>
            </w:pPr>
            <w:r w:rsidRPr="00FD551E">
              <w:t xml:space="preserve">rozsah, forma a obsah součinnosti Poskytovatele při předávání IS </w:t>
            </w:r>
            <w:r>
              <w:t>AGIS</w:t>
            </w:r>
            <w:r w:rsidRPr="00FD551E">
              <w:t xml:space="preserve"> novému provozovateli, případně při přesunu komponent IS </w:t>
            </w:r>
            <w:r>
              <w:t>AGIS</w:t>
            </w:r>
            <w:r w:rsidRPr="00FD551E">
              <w:t xml:space="preserve"> do prostor určených Objednatelem (pokud dojde ke změně datových center) a při instalaci komponent IS </w:t>
            </w:r>
            <w:r>
              <w:t>AGIS</w:t>
            </w:r>
            <w:r w:rsidRPr="00FD551E">
              <w:t xml:space="preserve"> v těchto prostorách,</w:t>
            </w:r>
          </w:p>
          <w:p w14:paraId="6EC3560C" w14:textId="519A7CC0" w:rsidR="00663A38" w:rsidRPr="00FD551E" w:rsidRDefault="00663A38" w:rsidP="00663A38">
            <w:pPr>
              <w:pStyle w:val="Odrazka1"/>
            </w:pPr>
            <w:r w:rsidRPr="00FD551E">
              <w:t xml:space="preserve">příprava detailních testovacích scénářů a akceptačních protokolů, na jejichž základě bude Objednatel (nebo nový provozovatel) ověřovat úplnost, správnost a funkcionalitu IS </w:t>
            </w:r>
            <w:r>
              <w:t>AGIS</w:t>
            </w:r>
            <w:r w:rsidRPr="00FD551E">
              <w:t xml:space="preserve"> a jednotlivých služeb systémem IS </w:t>
            </w:r>
            <w:r>
              <w:t>AGIS</w:t>
            </w:r>
            <w:r w:rsidRPr="00FD551E">
              <w:t xml:space="preserve"> zajišťovaných.</w:t>
            </w:r>
          </w:p>
          <w:p w14:paraId="56C8EEFD" w14:textId="77777777" w:rsidR="00663A38" w:rsidRPr="00FD551E" w:rsidRDefault="00663A38" w:rsidP="00663A38">
            <w:pPr>
              <w:pStyle w:val="Odrazka1"/>
            </w:pPr>
            <w:r w:rsidRPr="00FD551E">
              <w:lastRenderedPageBreak/>
              <w:t xml:space="preserve">provedení školení pracovníků nového provozovatele za účelem detailního seznámení s předávaným prostředím, jeho parametry, vyvíjenými oblastmi, rozpracovaným </w:t>
            </w:r>
            <w:proofErr w:type="gramStart"/>
            <w:r w:rsidRPr="00FD551E">
              <w:t>rozvojem,</w:t>
            </w:r>
            <w:proofErr w:type="gramEnd"/>
            <w:r w:rsidRPr="00FD551E">
              <w:t xml:space="preserve"> atd.</w:t>
            </w:r>
          </w:p>
          <w:p w14:paraId="7F120281" w14:textId="739B64B0" w:rsidR="00F10527" w:rsidRPr="00FD551E" w:rsidRDefault="00F10527" w:rsidP="00663A38"/>
        </w:tc>
      </w:tr>
      <w:tr w:rsidR="00F10527" w:rsidRPr="00FD551E" w14:paraId="7DBD0A80" w14:textId="77777777" w:rsidTr="00663A38">
        <w:trPr>
          <w:trHeight w:val="1239"/>
        </w:trPr>
        <w:tc>
          <w:tcPr>
            <w:tcW w:w="1843" w:type="dxa"/>
            <w:shd w:val="clear" w:color="auto" w:fill="AEEAC1"/>
          </w:tcPr>
          <w:p w14:paraId="4E5ADB4B" w14:textId="77777777" w:rsidR="00F10527" w:rsidRPr="00FD551E" w:rsidRDefault="00F10527" w:rsidP="00663A38">
            <w:pPr>
              <w:jc w:val="left"/>
              <w:rPr>
                <w:rFonts w:cs="Arial"/>
                <w:b/>
                <w:bCs/>
              </w:rPr>
            </w:pPr>
            <w:r w:rsidRPr="00FD551E">
              <w:rPr>
                <w:rFonts w:cs="Arial"/>
                <w:b/>
                <w:bCs/>
              </w:rPr>
              <w:lastRenderedPageBreak/>
              <w:t>Způsob realizace služby</w:t>
            </w:r>
          </w:p>
        </w:tc>
        <w:tc>
          <w:tcPr>
            <w:tcW w:w="7221" w:type="dxa"/>
          </w:tcPr>
          <w:p w14:paraId="23453449" w14:textId="6C9F4C5E" w:rsidR="00663A38" w:rsidRPr="00663A38" w:rsidRDefault="00663A38" w:rsidP="00663A38">
            <w:pPr>
              <w:spacing w:after="0" w:line="240" w:lineRule="auto"/>
              <w:ind w:right="74"/>
              <w:rPr>
                <w:rFonts w:cs="Arial"/>
                <w:b/>
              </w:rPr>
            </w:pPr>
            <w:r w:rsidRPr="00663A38">
              <w:rPr>
                <w:rFonts w:cs="Arial"/>
                <w:b/>
              </w:rPr>
              <w:t xml:space="preserve">Provedení Scénáře ukončení poskytování služeb a předání IS </w:t>
            </w:r>
            <w:r w:rsidR="00143F5D">
              <w:rPr>
                <w:rFonts w:cs="Arial"/>
                <w:b/>
              </w:rPr>
              <w:t>AGIS</w:t>
            </w:r>
          </w:p>
          <w:p w14:paraId="30F39AF4" w14:textId="71AD323E" w:rsidR="00663A38" w:rsidRPr="00663A38" w:rsidRDefault="00663A38" w:rsidP="0077131B">
            <w:r w:rsidRPr="00663A38">
              <w:t xml:space="preserve">Poskytovatel provede v rámci této klíčové činnosti Scénář ukončení poskytování služeb podle schváleného postupu a harmonogramu tak, aby nejpozději do </w:t>
            </w:r>
            <w:r w:rsidRPr="00143F5D">
              <w:rPr>
                <w:b/>
              </w:rPr>
              <w:t>60 kalendářních dní</w:t>
            </w:r>
            <w:r w:rsidRPr="00663A38">
              <w:t xml:space="preserve"> od zahájení této činnosti došlo k protokolárnímu ukončení poskytování </w:t>
            </w:r>
            <w:r w:rsidR="00143F5D">
              <w:t>s</w:t>
            </w:r>
            <w:r w:rsidRPr="00663A38">
              <w:t>lužeb dle této Smlouvy.</w:t>
            </w:r>
          </w:p>
          <w:p w14:paraId="0C8C5298" w14:textId="627F8946" w:rsidR="00663A38" w:rsidRPr="00663A38" w:rsidRDefault="00663A38" w:rsidP="0077131B">
            <w:r w:rsidRPr="00663A38">
              <w:t xml:space="preserve">Poskytovatel je povinen zajistit, že po předání IS </w:t>
            </w:r>
            <w:r w:rsidR="0077131B">
              <w:t>AGIS</w:t>
            </w:r>
            <w:r w:rsidRPr="00663A38">
              <w:t xml:space="preserve"> zpět Objednateli (nebo Objednatelem určenému subjektu) bude IS </w:t>
            </w:r>
            <w:r w:rsidR="0077131B">
              <w:t>AGIS</w:t>
            </w:r>
            <w:r w:rsidRPr="00663A38">
              <w:t xml:space="preserve"> a jeho jednotlivé komponenty ve stavu umožňujícím další provoz IS </w:t>
            </w:r>
            <w:r w:rsidR="0077131B">
              <w:t>AGIS</w:t>
            </w:r>
            <w:r w:rsidRPr="00663A38">
              <w:t xml:space="preserve"> vlastními zdroji Objednatele (příp. jiným provozovatelem). Veškerá data a informace vzniklé v průběhu poskytování Služeb dle této Smlouvy budou předána v podobě, v jaké byla vytvářena a ukládána při provozu, podpoře a rozvoji IS </w:t>
            </w:r>
            <w:r w:rsidR="0077131B">
              <w:t>AGIS</w:t>
            </w:r>
            <w:r w:rsidRPr="00663A38">
              <w:t xml:space="preserve"> (jinými slovy: nebudou prováděny žádné exporty, konverze a převody dat a informací, předávají se funkční komponenty s plným datovým obsahem), stejně tak budou předány veškeré nově vyvinuté funkce/komponenty/služby, customizace či úpravy SW nástrojů sloužících pro zajištění provozu, skripty a další programové úpravy vzniklé při poskytování </w:t>
            </w:r>
            <w:r w:rsidR="0077131B">
              <w:t>s</w:t>
            </w:r>
            <w:r w:rsidRPr="00663A38">
              <w:t xml:space="preserve">lužeb. Všechny tyto produkty vytvořené v rámci provozu, podpory a rozvoje IS </w:t>
            </w:r>
            <w:r w:rsidR="0077131B">
              <w:t>AGIS</w:t>
            </w:r>
            <w:r w:rsidRPr="00663A38">
              <w:t xml:space="preserve"> se stávají majetkem Objednatele okamžikem jejich vytvoření a akceptací ze strany Objednatele a Poskytovatel je povinen je náležitě předat při ukončení poskytování </w:t>
            </w:r>
            <w:r w:rsidR="0077131B">
              <w:t>s</w:t>
            </w:r>
            <w:r w:rsidRPr="00663A38">
              <w:t xml:space="preserve">lužeb. </w:t>
            </w:r>
          </w:p>
          <w:p w14:paraId="7E493D6C" w14:textId="3C63A775" w:rsidR="00663A38" w:rsidRPr="00663A38" w:rsidRDefault="00663A38" w:rsidP="0077131B">
            <w:r w:rsidRPr="00663A38">
              <w:t xml:space="preserve">Objednatel má právo s výše uvedenými nově vyvinutými funkcemi/komponentami/službami a customizacemi, úpravami SW nástrojů sloužících pro zajištění provozu, podpory a rozvoje, skripty a dalšími programovými úpravami vzniklými při poskytování </w:t>
            </w:r>
            <w:r w:rsidR="0077131B">
              <w:t>s</w:t>
            </w:r>
            <w:r w:rsidRPr="00663A38">
              <w:t>lužeb nakládat bez jakéhokoliv omezení včetně možnosti předání k využívání i úpravám třetím stranám.</w:t>
            </w:r>
          </w:p>
          <w:p w14:paraId="07E88182" w14:textId="65E12F95" w:rsidR="00F10527" w:rsidRPr="00FD551E" w:rsidRDefault="00663A38" w:rsidP="0077131B">
            <w:r w:rsidRPr="00663A38">
              <w:t xml:space="preserve">Úspěšné provedení Scénáře ukončení poskytování služeb bude smluvními stranami písemně zdokumentováno formou Předávacího protokolu IS </w:t>
            </w:r>
            <w:r w:rsidR="0077131B">
              <w:t>AGIS</w:t>
            </w:r>
            <w:r w:rsidRPr="00663A38">
              <w:t xml:space="preserve">. IS </w:t>
            </w:r>
            <w:r w:rsidR="0077131B">
              <w:t>AGIS</w:t>
            </w:r>
            <w:r w:rsidRPr="00663A38">
              <w:t xml:space="preserve"> je považovaný za předaný podpisem tohoto protokolu oběma smluvními stranami.</w:t>
            </w:r>
          </w:p>
        </w:tc>
      </w:tr>
      <w:tr w:rsidR="00F10527" w:rsidRPr="00FD551E" w14:paraId="461976EE" w14:textId="77777777" w:rsidTr="001B24F6">
        <w:trPr>
          <w:trHeight w:val="534"/>
        </w:trPr>
        <w:tc>
          <w:tcPr>
            <w:tcW w:w="1843" w:type="dxa"/>
            <w:shd w:val="clear" w:color="auto" w:fill="AEEAC1"/>
          </w:tcPr>
          <w:p w14:paraId="5848CC21" w14:textId="77777777" w:rsidR="00F10527" w:rsidRPr="00FD551E" w:rsidRDefault="00F10527" w:rsidP="00663A38">
            <w:pPr>
              <w:jc w:val="left"/>
              <w:rPr>
                <w:rFonts w:cs="Arial"/>
                <w:b/>
                <w:bCs/>
              </w:rPr>
            </w:pPr>
            <w:r w:rsidRPr="00FD551E">
              <w:rPr>
                <w:rFonts w:cs="Arial"/>
                <w:b/>
                <w:bCs/>
              </w:rPr>
              <w:t xml:space="preserve">Administrativní zajištění služby </w:t>
            </w:r>
          </w:p>
        </w:tc>
        <w:tc>
          <w:tcPr>
            <w:tcW w:w="7221" w:type="dxa"/>
          </w:tcPr>
          <w:p w14:paraId="6CF2A3C0" w14:textId="32EA8A3F" w:rsidR="00663A38" w:rsidRDefault="00663A38" w:rsidP="00663A38">
            <w:r>
              <w:t xml:space="preserve">Scénář ukončení poskytování služeb zpracovává Poskytovatel vždy, bez ohledu na důvod ukončení poskytování služeb dle této Smlouvy. </w:t>
            </w:r>
          </w:p>
          <w:p w14:paraId="5EE303E6" w14:textId="4727CFA5" w:rsidR="00F10527" w:rsidRPr="00FD551E" w:rsidRDefault="00663A38" w:rsidP="00663A38">
            <w:r>
              <w:t xml:space="preserve">Poskytovatel provede tuto činnost (přípravu Scénáře ukončení poskytování služeb) automaticky, i bez písemné výzvy nebo pokynu Objednatele tak, aby její plnění zahájil nejpozději </w:t>
            </w:r>
            <w:r w:rsidRPr="00663A38">
              <w:rPr>
                <w:b/>
              </w:rPr>
              <w:t>90 kalendářních dní</w:t>
            </w:r>
            <w:r>
              <w:t xml:space="preserve"> před termínem ukončení poskytování služeb dle této Smlouvy. Zpracovaný Scénář ukončení poskytování služeb je Poskytovatel povinen předat k připomínkám a akceptaci Objednateli nejpozději </w:t>
            </w:r>
            <w:r w:rsidRPr="00663A38">
              <w:rPr>
                <w:b/>
              </w:rPr>
              <w:t>70 kalendářních dní</w:t>
            </w:r>
            <w:r>
              <w:t xml:space="preserve"> před termínem ukončení poskytování služeb dle této Smlouvy. Připomínky je Objednatel povinen vnést nejpozději ve lhůtě 5 kalendářních dní tak, aby Poskytovateli zůstalo další 5 kalendářních dní na zapracování a nejpozději </w:t>
            </w:r>
            <w:r w:rsidRPr="00663A38">
              <w:rPr>
                <w:b/>
              </w:rPr>
              <w:t>60 pracovních dnů</w:t>
            </w:r>
            <w:r>
              <w:t xml:space="preserve"> před termínem ukončení poskytování služeb dle této Smlouvy byl Scénář ukončení </w:t>
            </w:r>
            <w:r>
              <w:lastRenderedPageBreak/>
              <w:t>akceptován a mohla být zahájena činnost – Provedení Scénáře ukončení poskytování služeb a předání IS AGIS</w:t>
            </w:r>
            <w:r w:rsidR="001B24F6">
              <w:t xml:space="preserve"> (viz výše)</w:t>
            </w:r>
            <w:r>
              <w:t>.</w:t>
            </w:r>
            <w:r w:rsidR="001B24F6">
              <w:t xml:space="preserve"> </w:t>
            </w:r>
          </w:p>
        </w:tc>
      </w:tr>
      <w:tr w:rsidR="00F10527" w:rsidRPr="00FD551E" w14:paraId="554EF4E9" w14:textId="77777777" w:rsidTr="001B24F6">
        <w:trPr>
          <w:trHeight w:val="740"/>
        </w:trPr>
        <w:tc>
          <w:tcPr>
            <w:tcW w:w="1843" w:type="dxa"/>
            <w:shd w:val="clear" w:color="auto" w:fill="AEEAC1"/>
          </w:tcPr>
          <w:p w14:paraId="59F46346" w14:textId="77777777" w:rsidR="00F10527" w:rsidRPr="00FD551E" w:rsidRDefault="00F10527" w:rsidP="00663A38">
            <w:pPr>
              <w:jc w:val="left"/>
              <w:rPr>
                <w:rFonts w:cs="Arial"/>
                <w:b/>
                <w:bCs/>
              </w:rPr>
            </w:pPr>
            <w:r w:rsidRPr="00FD551E">
              <w:rPr>
                <w:rFonts w:cs="Arial"/>
                <w:b/>
                <w:bCs/>
              </w:rPr>
              <w:lastRenderedPageBreak/>
              <w:t>Metriky</w:t>
            </w:r>
          </w:p>
        </w:tc>
        <w:tc>
          <w:tcPr>
            <w:tcW w:w="7221" w:type="dxa"/>
          </w:tcPr>
          <w:p w14:paraId="0F9153F7" w14:textId="415FE1B1" w:rsidR="00F10527" w:rsidRPr="00FD551E" w:rsidRDefault="0077131B" w:rsidP="00663A38">
            <w:pPr>
              <w:spacing w:after="0" w:line="240" w:lineRule="auto"/>
              <w:ind w:right="74"/>
              <w:rPr>
                <w:rFonts w:cs="Arial"/>
              </w:rPr>
            </w:pPr>
            <w:r w:rsidRPr="00FD551E">
              <w:rPr>
                <w:rFonts w:cs="Arial"/>
              </w:rPr>
              <w:t>Dodr</w:t>
            </w:r>
            <w:r>
              <w:rPr>
                <w:rFonts w:cs="Arial"/>
              </w:rPr>
              <w:t>žení termínů harmonogramu předání IS AGIS, akceptovaný předávací protokol</w:t>
            </w:r>
          </w:p>
        </w:tc>
      </w:tr>
      <w:tr w:rsidR="00F10527" w:rsidRPr="00FD551E" w14:paraId="2752E813" w14:textId="77777777" w:rsidTr="00663A38">
        <w:trPr>
          <w:trHeight w:val="745"/>
        </w:trPr>
        <w:tc>
          <w:tcPr>
            <w:tcW w:w="1843" w:type="dxa"/>
            <w:shd w:val="clear" w:color="auto" w:fill="AEEAC1"/>
          </w:tcPr>
          <w:p w14:paraId="511661BD" w14:textId="77777777" w:rsidR="00F10527" w:rsidRPr="00FD551E" w:rsidRDefault="00F10527" w:rsidP="00663A38">
            <w:pPr>
              <w:jc w:val="left"/>
              <w:rPr>
                <w:rFonts w:cs="Arial"/>
                <w:b/>
                <w:bCs/>
              </w:rPr>
            </w:pPr>
            <w:r w:rsidRPr="00FD551E">
              <w:rPr>
                <w:rFonts w:cs="Arial"/>
                <w:b/>
                <w:bCs/>
              </w:rPr>
              <w:t>Minimální hodnoty</w:t>
            </w:r>
          </w:p>
        </w:tc>
        <w:tc>
          <w:tcPr>
            <w:tcW w:w="7221" w:type="dxa"/>
          </w:tcPr>
          <w:p w14:paraId="62B07A5B" w14:textId="16620F5B" w:rsidR="00F10527" w:rsidRPr="00FD551E" w:rsidRDefault="0077131B" w:rsidP="00663A38">
            <w:pPr>
              <w:spacing w:after="0" w:line="240" w:lineRule="auto"/>
              <w:ind w:right="74"/>
              <w:rPr>
                <w:rFonts w:cs="Arial"/>
              </w:rPr>
            </w:pPr>
            <w:r>
              <w:rPr>
                <w:rFonts w:cs="Arial"/>
              </w:rPr>
              <w:t>Nestanovují se</w:t>
            </w:r>
          </w:p>
        </w:tc>
      </w:tr>
      <w:tr w:rsidR="00F10527" w:rsidRPr="00FD551E" w14:paraId="702A3A38" w14:textId="77777777" w:rsidTr="00663A38">
        <w:trPr>
          <w:trHeight w:val="945"/>
        </w:trPr>
        <w:tc>
          <w:tcPr>
            <w:tcW w:w="1843" w:type="dxa"/>
            <w:shd w:val="clear" w:color="auto" w:fill="AEEAC1"/>
          </w:tcPr>
          <w:p w14:paraId="329DF3C6" w14:textId="77777777" w:rsidR="00F10527" w:rsidRPr="00FD551E" w:rsidRDefault="00F10527" w:rsidP="00663A38">
            <w:pPr>
              <w:jc w:val="left"/>
              <w:rPr>
                <w:rFonts w:cs="Arial"/>
                <w:b/>
                <w:bCs/>
              </w:rPr>
            </w:pPr>
            <w:r w:rsidRPr="00FD551E">
              <w:rPr>
                <w:rFonts w:cs="Arial"/>
                <w:b/>
                <w:bCs/>
              </w:rPr>
              <w:t>Dostupnost služby</w:t>
            </w:r>
          </w:p>
        </w:tc>
        <w:tc>
          <w:tcPr>
            <w:tcW w:w="7221" w:type="dxa"/>
          </w:tcPr>
          <w:p w14:paraId="709DC8B8" w14:textId="06DD1308" w:rsidR="00F10527" w:rsidRPr="00FD551E" w:rsidRDefault="0077131B" w:rsidP="001B24F6">
            <w:pPr>
              <w:spacing w:after="0" w:line="240" w:lineRule="auto"/>
              <w:ind w:right="74"/>
              <w:rPr>
                <w:rFonts w:cs="Arial"/>
              </w:rPr>
            </w:pPr>
            <w:r w:rsidRPr="00FD551E">
              <w:rPr>
                <w:rFonts w:cs="Arial"/>
              </w:rPr>
              <w:t xml:space="preserve">V pracovní dny od 8:00 do 16:30 hodin </w:t>
            </w:r>
          </w:p>
        </w:tc>
      </w:tr>
      <w:tr w:rsidR="00F10527" w:rsidRPr="00FD551E" w14:paraId="1BC1307A" w14:textId="77777777" w:rsidTr="00663A38">
        <w:trPr>
          <w:trHeight w:val="550"/>
        </w:trPr>
        <w:tc>
          <w:tcPr>
            <w:tcW w:w="1843" w:type="dxa"/>
            <w:shd w:val="clear" w:color="auto" w:fill="AEEAC1"/>
          </w:tcPr>
          <w:p w14:paraId="1F086E75" w14:textId="77777777" w:rsidR="00F10527" w:rsidRPr="00FD551E" w:rsidRDefault="00F10527" w:rsidP="00663A38">
            <w:pPr>
              <w:jc w:val="left"/>
              <w:rPr>
                <w:rFonts w:cs="Arial"/>
                <w:b/>
                <w:bCs/>
              </w:rPr>
            </w:pPr>
            <w:r w:rsidRPr="00FD551E">
              <w:rPr>
                <w:rFonts w:cs="Arial"/>
                <w:b/>
                <w:bCs/>
              </w:rPr>
              <w:t>Rozsah poskytované služby</w:t>
            </w:r>
          </w:p>
        </w:tc>
        <w:tc>
          <w:tcPr>
            <w:tcW w:w="7221" w:type="dxa"/>
          </w:tcPr>
          <w:p w14:paraId="21823893" w14:textId="3DC8032D" w:rsidR="00F10527" w:rsidRPr="00FD551E" w:rsidRDefault="0077131B" w:rsidP="00663A38">
            <w:pPr>
              <w:spacing w:after="0" w:line="240" w:lineRule="auto"/>
              <w:ind w:right="74"/>
              <w:jc w:val="left"/>
              <w:rPr>
                <w:rFonts w:cs="Arial"/>
              </w:rPr>
            </w:pPr>
            <w:r>
              <w:rPr>
                <w:rFonts w:cs="Arial"/>
              </w:rPr>
              <w:t>Nestanovuje se, Poskytovatel je povinen alokovat veškeré potřebné specialisty v rozsahu nezbytném pro správné a kvalitní provedení všech činností dle tohoto katalogového listu.</w:t>
            </w:r>
          </w:p>
        </w:tc>
      </w:tr>
      <w:tr w:rsidR="00F10527" w:rsidRPr="00FD551E" w14:paraId="44EE2D3B" w14:textId="77777777" w:rsidTr="00663A38">
        <w:trPr>
          <w:trHeight w:val="409"/>
        </w:trPr>
        <w:tc>
          <w:tcPr>
            <w:tcW w:w="1843" w:type="dxa"/>
            <w:shd w:val="clear" w:color="auto" w:fill="AEEAC1"/>
          </w:tcPr>
          <w:p w14:paraId="16598E25" w14:textId="77777777" w:rsidR="00F10527" w:rsidRPr="00FD551E" w:rsidRDefault="00F10527" w:rsidP="00663A38">
            <w:pPr>
              <w:jc w:val="left"/>
              <w:rPr>
                <w:rFonts w:cs="Arial"/>
                <w:b/>
                <w:bCs/>
              </w:rPr>
            </w:pPr>
            <w:r w:rsidRPr="00FD551E">
              <w:rPr>
                <w:rFonts w:cs="Arial"/>
                <w:b/>
                <w:bCs/>
              </w:rPr>
              <w:t>Reporting služby</w:t>
            </w:r>
          </w:p>
        </w:tc>
        <w:tc>
          <w:tcPr>
            <w:tcW w:w="7221" w:type="dxa"/>
          </w:tcPr>
          <w:p w14:paraId="7ACEC5EF" w14:textId="2593AC58" w:rsidR="007C0054" w:rsidRDefault="007C0054" w:rsidP="0077131B">
            <w:pPr>
              <w:spacing w:after="0" w:line="240" w:lineRule="auto"/>
              <w:ind w:right="74"/>
              <w:jc w:val="left"/>
              <w:rPr>
                <w:rFonts w:cs="Arial"/>
              </w:rPr>
            </w:pPr>
            <w:r>
              <w:t>Protokol o poskytnuté službě,</w:t>
            </w:r>
            <w:r w:rsidRPr="0077131B">
              <w:rPr>
                <w:rFonts w:cs="Arial"/>
              </w:rPr>
              <w:t xml:space="preserve"> </w:t>
            </w:r>
            <w:r>
              <w:rPr>
                <w:rFonts w:cs="Arial"/>
              </w:rPr>
              <w:t>jehož součástí jsou:</w:t>
            </w:r>
          </w:p>
          <w:p w14:paraId="7B41C977" w14:textId="698C4ED8" w:rsidR="0077131B" w:rsidRPr="007C0054" w:rsidRDefault="0077131B" w:rsidP="007C0054">
            <w:pPr>
              <w:pStyle w:val="Odstavecseseznamem"/>
              <w:numPr>
                <w:ilvl w:val="0"/>
                <w:numId w:val="33"/>
              </w:numPr>
              <w:spacing w:after="0" w:line="240" w:lineRule="auto"/>
              <w:ind w:right="74"/>
              <w:jc w:val="left"/>
              <w:rPr>
                <w:rFonts w:cs="Arial"/>
              </w:rPr>
            </w:pPr>
            <w:r w:rsidRPr="007C0054">
              <w:rPr>
                <w:rFonts w:cs="Arial"/>
              </w:rPr>
              <w:t>Schválený Scénář ukončení poskytování služeb</w:t>
            </w:r>
          </w:p>
          <w:p w14:paraId="25DACAC6" w14:textId="3998C10F" w:rsidR="0077131B" w:rsidRPr="007C0054" w:rsidRDefault="0077131B" w:rsidP="007C0054">
            <w:pPr>
              <w:pStyle w:val="Odstavecseseznamem"/>
              <w:numPr>
                <w:ilvl w:val="0"/>
                <w:numId w:val="33"/>
              </w:numPr>
              <w:spacing w:after="0" w:line="240" w:lineRule="auto"/>
              <w:ind w:right="74"/>
              <w:jc w:val="left"/>
              <w:rPr>
                <w:rFonts w:cs="Arial"/>
              </w:rPr>
            </w:pPr>
            <w:r w:rsidRPr="007C0054">
              <w:rPr>
                <w:rFonts w:cs="Arial"/>
              </w:rPr>
              <w:t>Testovací scénáře a schválené akceptační protokoly z provedení Scénáře ukončení.</w:t>
            </w:r>
          </w:p>
          <w:p w14:paraId="04AEE75A" w14:textId="72F9C11B" w:rsidR="00F10527" w:rsidRPr="007C0054" w:rsidRDefault="0077131B" w:rsidP="007C0054">
            <w:pPr>
              <w:pStyle w:val="Odstavecseseznamem"/>
              <w:numPr>
                <w:ilvl w:val="0"/>
                <w:numId w:val="33"/>
              </w:numPr>
              <w:spacing w:after="0" w:line="240" w:lineRule="auto"/>
              <w:ind w:right="74"/>
              <w:jc w:val="left"/>
              <w:rPr>
                <w:rFonts w:cs="Arial"/>
              </w:rPr>
            </w:pPr>
            <w:r w:rsidRPr="007C0054">
              <w:rPr>
                <w:rFonts w:cs="Arial"/>
              </w:rPr>
              <w:t>Předávací protokol IS AGIS</w:t>
            </w:r>
          </w:p>
        </w:tc>
      </w:tr>
      <w:tr w:rsidR="00F10527" w:rsidRPr="00FD551E" w14:paraId="4429A454" w14:textId="77777777" w:rsidTr="00663A38">
        <w:trPr>
          <w:trHeight w:val="315"/>
        </w:trPr>
        <w:tc>
          <w:tcPr>
            <w:tcW w:w="1843" w:type="dxa"/>
            <w:shd w:val="clear" w:color="auto" w:fill="AEEAC1"/>
          </w:tcPr>
          <w:p w14:paraId="0049F97E" w14:textId="77777777" w:rsidR="00F10527" w:rsidRPr="00FD551E" w:rsidRDefault="00F10527" w:rsidP="00663A38">
            <w:pPr>
              <w:jc w:val="left"/>
              <w:rPr>
                <w:rFonts w:cs="Arial"/>
                <w:b/>
                <w:bCs/>
              </w:rPr>
            </w:pPr>
            <w:r w:rsidRPr="00FD551E">
              <w:rPr>
                <w:rFonts w:cs="Arial"/>
                <w:b/>
                <w:bCs/>
              </w:rPr>
              <w:t>Smluvní pokuta</w:t>
            </w:r>
          </w:p>
        </w:tc>
        <w:tc>
          <w:tcPr>
            <w:tcW w:w="7221" w:type="dxa"/>
          </w:tcPr>
          <w:p w14:paraId="30F50E12" w14:textId="28EE6139" w:rsidR="00F10527" w:rsidRPr="00FD551E" w:rsidRDefault="001B24F6" w:rsidP="001B24F6">
            <w:pPr>
              <w:spacing w:line="240" w:lineRule="auto"/>
              <w:rPr>
                <w:rFonts w:cs="Arial"/>
              </w:rPr>
            </w:pPr>
            <w:r w:rsidRPr="00FD551E">
              <w:rPr>
                <w:rFonts w:cs="Arial"/>
              </w:rPr>
              <w:t xml:space="preserve">Výše smluvní pokuty je stanovena na </w:t>
            </w:r>
            <w:proofErr w:type="gramStart"/>
            <w:r w:rsidRPr="00FD551E">
              <w:rPr>
                <w:rFonts w:cs="Arial"/>
              </w:rPr>
              <w:t>10.000,-</w:t>
            </w:r>
            <w:proofErr w:type="gramEnd"/>
            <w:r w:rsidRPr="00FD551E">
              <w:rPr>
                <w:rFonts w:cs="Arial"/>
              </w:rPr>
              <w:t xml:space="preserve"> Kč za každý den prodlení </w:t>
            </w:r>
            <w:r>
              <w:rPr>
                <w:rFonts w:cs="Arial"/>
              </w:rPr>
              <w:t>v termínech přípravy a realizace Scénáře ukončení poskytování služeb a předání IS AGIS.</w:t>
            </w:r>
          </w:p>
        </w:tc>
      </w:tr>
    </w:tbl>
    <w:tbl>
      <w:tblPr>
        <w:tblStyle w:val="Mkatabulky"/>
        <w:tblW w:w="9057" w:type="dxa"/>
        <w:tblInd w:w="9" w:type="dxa"/>
        <w:tblLayout w:type="fixed"/>
        <w:tblLook w:val="04A0" w:firstRow="1" w:lastRow="0" w:firstColumn="1" w:lastColumn="0" w:noHBand="0" w:noVBand="1"/>
      </w:tblPr>
      <w:tblGrid>
        <w:gridCol w:w="2497"/>
        <w:gridCol w:w="2253"/>
        <w:gridCol w:w="2133"/>
        <w:gridCol w:w="2174"/>
      </w:tblGrid>
      <w:tr w:rsidR="00F10527" w:rsidRPr="00FD551E" w14:paraId="5814505C" w14:textId="77777777" w:rsidTr="00663A38">
        <w:trPr>
          <w:cantSplit/>
          <w:trHeight w:val="408"/>
        </w:trPr>
        <w:tc>
          <w:tcPr>
            <w:tcW w:w="9057" w:type="dxa"/>
            <w:gridSpan w:val="4"/>
            <w:tcBorders>
              <w:bottom w:val="single" w:sz="4" w:space="0" w:color="auto"/>
            </w:tcBorders>
            <w:shd w:val="clear" w:color="auto" w:fill="006600"/>
            <w:vAlign w:val="center"/>
          </w:tcPr>
          <w:p w14:paraId="0C91FFF0" w14:textId="77777777" w:rsidR="00F10527" w:rsidRPr="00FD551E" w:rsidRDefault="00F10527" w:rsidP="00663A38">
            <w:pPr>
              <w:spacing w:before="0" w:after="0"/>
              <w:jc w:val="left"/>
            </w:pPr>
            <w:r w:rsidRPr="00FD551E">
              <w:t>Cena služby</w:t>
            </w:r>
          </w:p>
        </w:tc>
      </w:tr>
      <w:tr w:rsidR="00F10527" w:rsidRPr="00FD551E" w14:paraId="731E1C04" w14:textId="77777777" w:rsidTr="00663A38">
        <w:trPr>
          <w:cantSplit/>
          <w:trHeight w:val="410"/>
        </w:trPr>
        <w:tc>
          <w:tcPr>
            <w:tcW w:w="2497" w:type="dxa"/>
            <w:tcBorders>
              <w:bottom w:val="single" w:sz="4" w:space="0" w:color="auto"/>
            </w:tcBorders>
            <w:shd w:val="clear" w:color="auto" w:fill="AEEAC1"/>
            <w:vAlign w:val="center"/>
          </w:tcPr>
          <w:p w14:paraId="1E5BBFC7" w14:textId="77777777" w:rsidR="00F10527" w:rsidRPr="00FD551E" w:rsidRDefault="00F10527" w:rsidP="00663A38">
            <w:pPr>
              <w:spacing w:before="0" w:after="0"/>
              <w:jc w:val="left"/>
            </w:pPr>
            <w:r w:rsidRPr="00FD551E">
              <w:t>Položka</w:t>
            </w:r>
          </w:p>
        </w:tc>
        <w:tc>
          <w:tcPr>
            <w:tcW w:w="2253" w:type="dxa"/>
            <w:tcBorders>
              <w:bottom w:val="single" w:sz="4" w:space="0" w:color="auto"/>
            </w:tcBorders>
            <w:shd w:val="clear" w:color="auto" w:fill="AEEAC1"/>
            <w:vAlign w:val="center"/>
          </w:tcPr>
          <w:p w14:paraId="40D8ED6A" w14:textId="77777777" w:rsidR="00F10527" w:rsidRPr="00FD551E" w:rsidRDefault="00F10527" w:rsidP="00DD458A">
            <w:pPr>
              <w:spacing w:before="0" w:after="0"/>
              <w:jc w:val="center"/>
            </w:pPr>
            <w:r w:rsidRPr="00FD551E">
              <w:t>Cena v Kč bez DPH</w:t>
            </w:r>
          </w:p>
        </w:tc>
        <w:tc>
          <w:tcPr>
            <w:tcW w:w="2133" w:type="dxa"/>
            <w:tcBorders>
              <w:bottom w:val="single" w:sz="4" w:space="0" w:color="auto"/>
            </w:tcBorders>
            <w:shd w:val="clear" w:color="auto" w:fill="AEEAC1"/>
            <w:vAlign w:val="center"/>
          </w:tcPr>
          <w:p w14:paraId="5D18D738" w14:textId="77777777" w:rsidR="00F10527" w:rsidRPr="00FD551E" w:rsidRDefault="00F10527" w:rsidP="00DD458A">
            <w:pPr>
              <w:spacing w:before="0" w:after="0"/>
              <w:jc w:val="center"/>
            </w:pPr>
            <w:r w:rsidRPr="00FD551E">
              <w:t xml:space="preserve">DPH </w:t>
            </w:r>
            <w:proofErr w:type="gramStart"/>
            <w:r w:rsidRPr="00FD551E">
              <w:t>21%</w:t>
            </w:r>
            <w:proofErr w:type="gramEnd"/>
          </w:p>
        </w:tc>
        <w:tc>
          <w:tcPr>
            <w:tcW w:w="2174" w:type="dxa"/>
            <w:tcBorders>
              <w:bottom w:val="single" w:sz="4" w:space="0" w:color="auto"/>
            </w:tcBorders>
            <w:shd w:val="clear" w:color="auto" w:fill="AEEAC1"/>
            <w:vAlign w:val="center"/>
          </w:tcPr>
          <w:p w14:paraId="1D0565C6" w14:textId="77777777" w:rsidR="00F10527" w:rsidRPr="00FD551E" w:rsidRDefault="00F10527" w:rsidP="00DD458A">
            <w:pPr>
              <w:spacing w:before="0" w:after="0"/>
              <w:jc w:val="center"/>
            </w:pPr>
            <w:r w:rsidRPr="00FD551E">
              <w:t>Cena v Kč s DPH</w:t>
            </w:r>
          </w:p>
        </w:tc>
      </w:tr>
      <w:tr w:rsidR="00F10527" w:rsidRPr="00FD551E" w14:paraId="6C24580F" w14:textId="77777777" w:rsidTr="00663A38">
        <w:trPr>
          <w:cantSplit/>
          <w:trHeight w:val="666"/>
        </w:trPr>
        <w:tc>
          <w:tcPr>
            <w:tcW w:w="2497" w:type="dxa"/>
            <w:tcBorders>
              <w:bottom w:val="single" w:sz="4" w:space="0" w:color="auto"/>
            </w:tcBorders>
            <w:shd w:val="clear" w:color="auto" w:fill="auto"/>
            <w:vAlign w:val="center"/>
          </w:tcPr>
          <w:p w14:paraId="6525C368" w14:textId="3302A0BC" w:rsidR="00F10527" w:rsidRPr="00FD551E" w:rsidRDefault="001B24F6" w:rsidP="001B24F6">
            <w:pPr>
              <w:spacing w:before="0" w:after="0"/>
              <w:jc w:val="left"/>
            </w:pPr>
            <w:r>
              <w:t>Jednorázová c</w:t>
            </w:r>
            <w:r w:rsidR="0077131B">
              <w:t>ena za provedení služby</w:t>
            </w:r>
            <w:r>
              <w:t xml:space="preserve"> č. 07</w:t>
            </w:r>
          </w:p>
        </w:tc>
        <w:tc>
          <w:tcPr>
            <w:tcW w:w="2253" w:type="dxa"/>
            <w:tcBorders>
              <w:bottom w:val="single" w:sz="4" w:space="0" w:color="auto"/>
            </w:tcBorders>
            <w:shd w:val="clear" w:color="auto" w:fill="auto"/>
            <w:vAlign w:val="center"/>
          </w:tcPr>
          <w:p w14:paraId="74C653A8" w14:textId="762C646B" w:rsidR="00F10527" w:rsidRPr="00FD551E" w:rsidRDefault="00DD458A" w:rsidP="00DD458A">
            <w:pPr>
              <w:spacing w:before="0" w:after="0"/>
              <w:jc w:val="center"/>
              <w:rPr>
                <w:highlight w:val="yellow"/>
              </w:rP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c>
          <w:tcPr>
            <w:tcW w:w="2133" w:type="dxa"/>
            <w:tcBorders>
              <w:bottom w:val="single" w:sz="4" w:space="0" w:color="auto"/>
            </w:tcBorders>
            <w:shd w:val="clear" w:color="auto" w:fill="auto"/>
            <w:vAlign w:val="center"/>
          </w:tcPr>
          <w:p w14:paraId="77843CEE" w14:textId="20154EC4" w:rsidR="00F10527" w:rsidRPr="00FD551E" w:rsidRDefault="00DD458A" w:rsidP="00DD458A">
            <w:pPr>
              <w:spacing w:before="0" w:after="0"/>
              <w:jc w:val="center"/>
              <w:rPr>
                <w:highlight w:val="yellow"/>
              </w:rP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c>
          <w:tcPr>
            <w:tcW w:w="2174" w:type="dxa"/>
            <w:tcBorders>
              <w:bottom w:val="single" w:sz="4" w:space="0" w:color="auto"/>
            </w:tcBorders>
            <w:shd w:val="clear" w:color="auto" w:fill="auto"/>
            <w:vAlign w:val="center"/>
          </w:tcPr>
          <w:p w14:paraId="27225BB1" w14:textId="6C7B6C46" w:rsidR="00F10527" w:rsidRPr="00FD551E" w:rsidRDefault="00DD458A" w:rsidP="00DD458A">
            <w:pPr>
              <w:spacing w:before="0" w:after="0"/>
              <w:jc w:val="center"/>
              <w:rPr>
                <w:highlight w:val="yellow"/>
              </w:rPr>
            </w:pPr>
            <w:r w:rsidRPr="00535629">
              <w:rPr>
                <w:bCs/>
                <w:highlight w:val="yellow"/>
              </w:rPr>
              <w:fldChar w:fldCharType="begin">
                <w:ffData>
                  <w:name w:val=""/>
                  <w:enabled/>
                  <w:calcOnExit w:val="0"/>
                  <w:textInput>
                    <w:default w:val="[Bude doplněno před podpisem smlouvy dle nabídky vybraného dodavatele]"/>
                  </w:textInput>
                </w:ffData>
              </w:fldChar>
            </w:r>
            <w:r w:rsidRPr="00535629">
              <w:rPr>
                <w:bCs/>
                <w:highlight w:val="yellow"/>
              </w:rPr>
              <w:instrText xml:space="preserve"> FORMTEXT </w:instrText>
            </w:r>
            <w:r w:rsidRPr="00535629">
              <w:rPr>
                <w:bCs/>
                <w:highlight w:val="yellow"/>
              </w:rPr>
            </w:r>
            <w:r w:rsidRPr="00535629">
              <w:rPr>
                <w:bCs/>
                <w:highlight w:val="yellow"/>
              </w:rPr>
              <w:fldChar w:fldCharType="separate"/>
            </w:r>
            <w:r w:rsidRPr="00535629">
              <w:rPr>
                <w:bCs/>
                <w:noProof/>
                <w:highlight w:val="yellow"/>
              </w:rPr>
              <w:t>[Bude doplněno před podpisem smlouvy dle nabídky vybraného dodavatele]</w:t>
            </w:r>
            <w:r w:rsidRPr="00535629">
              <w:rPr>
                <w:bCs/>
                <w:highlight w:val="yellow"/>
              </w:rPr>
              <w:fldChar w:fldCharType="end"/>
            </w:r>
          </w:p>
        </w:tc>
      </w:tr>
    </w:tbl>
    <w:p w14:paraId="729524DE" w14:textId="77777777" w:rsidR="00ED1D55" w:rsidRPr="00FD551E" w:rsidRDefault="00ED1D55" w:rsidP="00663A38"/>
    <w:sectPr w:rsidR="00ED1D55" w:rsidRPr="00FD551E" w:rsidSect="00C66B5E">
      <w:headerReference w:type="default" r:id="rId9"/>
      <w:footerReference w:type="default" r:id="rId10"/>
      <w:pgSz w:w="11905" w:h="16837"/>
      <w:pgMar w:top="1571" w:right="1418" w:bottom="1418" w:left="1418" w:header="709" w:footer="4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F9777" w14:textId="77777777" w:rsidR="008A3CD1" w:rsidRDefault="008A3CD1" w:rsidP="00B459E6">
      <w:r>
        <w:separator/>
      </w:r>
    </w:p>
    <w:p w14:paraId="18125E8A" w14:textId="77777777" w:rsidR="008A3CD1" w:rsidRDefault="008A3CD1" w:rsidP="00B459E6"/>
  </w:endnote>
  <w:endnote w:type="continuationSeparator" w:id="0">
    <w:p w14:paraId="03F1EC89" w14:textId="77777777" w:rsidR="008A3CD1" w:rsidRDefault="008A3CD1" w:rsidP="00B459E6">
      <w:r>
        <w:continuationSeparator/>
      </w:r>
    </w:p>
    <w:p w14:paraId="730BF824" w14:textId="77777777" w:rsidR="008A3CD1" w:rsidRDefault="008A3CD1" w:rsidP="00B45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0B040" w14:textId="77777777" w:rsidR="009A29D9" w:rsidRDefault="009A29D9" w:rsidP="003B1B68">
    <w:pPr>
      <w:pStyle w:val="Zpat"/>
      <w:pBdr>
        <w:bottom w:val="single" w:sz="12" w:space="1" w:color="auto"/>
      </w:pBdr>
      <w:ind w:right="-3"/>
      <w:rPr>
        <w:b/>
        <w:sz w:val="16"/>
        <w:szCs w:val="16"/>
      </w:rPr>
    </w:pPr>
    <w:r>
      <w:rPr>
        <w:b/>
        <w:sz w:val="16"/>
        <w:szCs w:val="16"/>
      </w:rPr>
      <w:t xml:space="preserve">    </w:t>
    </w:r>
    <w:r>
      <w:rPr>
        <w:b/>
        <w:sz w:val="16"/>
        <w:szCs w:val="16"/>
      </w:rPr>
      <w:tab/>
    </w:r>
    <w:r>
      <w:rPr>
        <w:b/>
        <w:sz w:val="16"/>
        <w:szCs w:val="16"/>
      </w:rPr>
      <w:tab/>
    </w:r>
  </w:p>
  <w:p w14:paraId="11B631A0" w14:textId="77777777" w:rsidR="009A29D9" w:rsidRPr="009A476F" w:rsidRDefault="009A29D9" w:rsidP="00B459E6">
    <w:pPr>
      <w:pStyle w:val="Zpat"/>
      <w:spacing w:before="0" w:after="0"/>
      <w:ind w:right="357"/>
      <w:rPr>
        <w:b/>
        <w:sz w:val="16"/>
        <w:szCs w:val="16"/>
      </w:rPr>
    </w:pPr>
    <w:r>
      <w:rPr>
        <w:b/>
        <w:noProof/>
        <w:sz w:val="16"/>
        <w:szCs w:val="16"/>
      </w:rPr>
      <w:drawing>
        <wp:anchor distT="0" distB="0" distL="114300" distR="114300" simplePos="0" relativeHeight="251663360" behindDoc="0" locked="0" layoutInCell="1" allowOverlap="1" wp14:anchorId="639EB932" wp14:editId="5B33A098">
          <wp:simplePos x="0" y="0"/>
          <wp:positionH relativeFrom="column">
            <wp:posOffset>4690374</wp:posOffset>
          </wp:positionH>
          <wp:positionV relativeFrom="paragraph">
            <wp:posOffset>14605</wp:posOffset>
          </wp:positionV>
          <wp:extent cx="1079500" cy="283210"/>
          <wp:effectExtent l="0" t="0" r="6350" b="2540"/>
          <wp:wrapNone/>
          <wp:docPr id="12" name="obrázek 1"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zif"/>
                  <pic:cNvPicPr>
                    <a:picLocks noChangeAspect="1" noChangeArrowheads="1"/>
                  </pic:cNvPicPr>
                </pic:nvPicPr>
                <pic:blipFill>
                  <a:blip r:embed="rId1"/>
                  <a:srcRect/>
                  <a:stretch>
                    <a:fillRect/>
                  </a:stretch>
                </pic:blipFill>
                <pic:spPr bwMode="auto">
                  <a:xfrm>
                    <a:off x="0" y="0"/>
                    <a:ext cx="1079500" cy="283210"/>
                  </a:xfrm>
                  <a:prstGeom prst="rect">
                    <a:avLst/>
                  </a:prstGeom>
                  <a:noFill/>
                  <a:ln w="9525">
                    <a:noFill/>
                    <a:miter lim="800000"/>
                    <a:headEnd/>
                    <a:tailEnd/>
                  </a:ln>
                </pic:spPr>
              </pic:pic>
            </a:graphicData>
          </a:graphic>
        </wp:anchor>
      </w:drawing>
    </w:r>
    <w:r w:rsidRPr="009A476F">
      <w:rPr>
        <w:b/>
        <w:sz w:val="16"/>
        <w:szCs w:val="16"/>
      </w:rPr>
      <w:t>Státní zemědělský intervenční fond</w:t>
    </w:r>
    <w:r>
      <w:rPr>
        <w:b/>
        <w:sz w:val="16"/>
        <w:szCs w:val="16"/>
      </w:rPr>
      <w:t xml:space="preserve">        </w:t>
    </w:r>
  </w:p>
  <w:p w14:paraId="159A82F5" w14:textId="77777777" w:rsidR="009A29D9" w:rsidRPr="009A476F" w:rsidRDefault="009A29D9" w:rsidP="003B1B68">
    <w:pPr>
      <w:pStyle w:val="Zpat"/>
      <w:tabs>
        <w:tab w:val="clear" w:pos="4536"/>
        <w:tab w:val="clear" w:pos="9072"/>
      </w:tabs>
      <w:spacing w:before="0" w:after="0"/>
      <w:ind w:right="357"/>
      <w:rPr>
        <w:sz w:val="16"/>
        <w:szCs w:val="16"/>
      </w:rPr>
    </w:pPr>
    <w:r w:rsidRPr="009A476F">
      <w:rPr>
        <w:sz w:val="16"/>
        <w:szCs w:val="16"/>
      </w:rPr>
      <w:t>Ve Smečkách 33, 110 00 Praha 1</w:t>
    </w:r>
    <w:r>
      <w:rPr>
        <w:sz w:val="16"/>
        <w:szCs w:val="16"/>
      </w:rPr>
      <w:tab/>
    </w:r>
    <w:r>
      <w:rPr>
        <w:sz w:val="16"/>
        <w:szCs w:val="16"/>
      </w:rPr>
      <w:tab/>
    </w:r>
    <w:r>
      <w:rPr>
        <w:sz w:val="16"/>
        <w:szCs w:val="16"/>
      </w:rPr>
      <w:tab/>
      <w:t xml:space="preserve">Strana </w:t>
    </w:r>
    <w:r>
      <w:rPr>
        <w:sz w:val="16"/>
        <w:szCs w:val="16"/>
      </w:rPr>
      <w:fldChar w:fldCharType="begin"/>
    </w:r>
    <w:r>
      <w:rPr>
        <w:sz w:val="16"/>
        <w:szCs w:val="16"/>
      </w:rPr>
      <w:instrText xml:space="preserve"> PAGE  \* Arabic  \* MERGEFORMAT </w:instrText>
    </w:r>
    <w:r>
      <w:rPr>
        <w:sz w:val="16"/>
        <w:szCs w:val="16"/>
      </w:rPr>
      <w:fldChar w:fldCharType="separate"/>
    </w:r>
    <w:r>
      <w:rPr>
        <w:noProof/>
        <w:sz w:val="16"/>
        <w:szCs w:val="16"/>
      </w:rPr>
      <w:t>5</w:t>
    </w:r>
    <w:r>
      <w:rPr>
        <w:sz w:val="16"/>
        <w:szCs w:val="16"/>
      </w:rPr>
      <w:fldChar w:fldCharType="end"/>
    </w:r>
    <w:r>
      <w:rPr>
        <w:sz w:val="16"/>
        <w:szCs w:val="16"/>
      </w:rPr>
      <w:t>/</w:t>
    </w:r>
    <w:r>
      <w:rPr>
        <w:sz w:val="16"/>
        <w:szCs w:val="16"/>
      </w:rPr>
      <w:fldChar w:fldCharType="begin"/>
    </w:r>
    <w:r>
      <w:rPr>
        <w:sz w:val="16"/>
        <w:szCs w:val="16"/>
      </w:rPr>
      <w:instrText xml:space="preserve"> NUMPAGES   \* MERGEFORMAT </w:instrText>
    </w:r>
    <w:r>
      <w:rPr>
        <w:sz w:val="16"/>
        <w:szCs w:val="16"/>
      </w:rPr>
      <w:fldChar w:fldCharType="separate"/>
    </w:r>
    <w:r>
      <w:rPr>
        <w:noProof/>
        <w:sz w:val="16"/>
        <w:szCs w:val="16"/>
      </w:rPr>
      <w:t>20</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24778" w14:textId="77777777" w:rsidR="008A3CD1" w:rsidRDefault="008A3CD1" w:rsidP="00B459E6">
      <w:r>
        <w:separator/>
      </w:r>
    </w:p>
    <w:p w14:paraId="210CB56A" w14:textId="77777777" w:rsidR="008A3CD1" w:rsidRDefault="008A3CD1" w:rsidP="00B459E6"/>
  </w:footnote>
  <w:footnote w:type="continuationSeparator" w:id="0">
    <w:p w14:paraId="1605486A" w14:textId="77777777" w:rsidR="008A3CD1" w:rsidRDefault="008A3CD1" w:rsidP="00B459E6">
      <w:r>
        <w:continuationSeparator/>
      </w:r>
    </w:p>
    <w:p w14:paraId="63B7CE9E" w14:textId="77777777" w:rsidR="008A3CD1" w:rsidRDefault="008A3CD1" w:rsidP="00B459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26FF6" w14:textId="2F8ED1AC" w:rsidR="009A29D9" w:rsidRDefault="009A29D9" w:rsidP="003B1B68">
    <w:pPr>
      <w:pStyle w:val="Zhlav"/>
      <w:pBdr>
        <w:bottom w:val="single" w:sz="12" w:space="1" w:color="auto"/>
      </w:pBdr>
      <w:tabs>
        <w:tab w:val="clear" w:pos="4536"/>
        <w:tab w:val="clear" w:pos="9072"/>
      </w:tabs>
      <w:jc w:val="center"/>
      <w:rPr>
        <w:b/>
        <w:sz w:val="16"/>
        <w:szCs w:val="16"/>
      </w:rPr>
    </w:pPr>
    <w:r>
      <w:rPr>
        <w:sz w:val="16"/>
        <w:szCs w:val="16"/>
      </w:rPr>
      <w:t>Příloha č. 1 Smlouvy o poskytování služeb: Katalog služeb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1"/>
    <w:lvl w:ilvl="0">
      <w:start w:val="1"/>
      <w:numFmt w:val="lowerLetter"/>
      <w:lvlText w:val="%1)"/>
      <w:lvlJc w:val="left"/>
      <w:pPr>
        <w:tabs>
          <w:tab w:val="num" w:pos="1080"/>
        </w:tabs>
        <w:ind w:left="1080" w:hanging="360"/>
      </w:pPr>
    </w:lvl>
  </w:abstractNum>
  <w:abstractNum w:abstractNumId="1" w15:restartNumberingAfterBreak="0">
    <w:nsid w:val="00F57869"/>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A2415"/>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96DA9"/>
    <w:multiLevelType w:val="hybridMultilevel"/>
    <w:tmpl w:val="ED0ED40C"/>
    <w:lvl w:ilvl="0" w:tplc="68F0166A">
      <w:start w:val="1"/>
      <w:numFmt w:val="bullet"/>
      <w:pStyle w:val="Odrazka1"/>
      <w:lvlText w:val=""/>
      <w:lvlJc w:val="left"/>
      <w:pPr>
        <w:ind w:left="720" w:hanging="360"/>
      </w:pPr>
      <w:rPr>
        <w:rFonts w:ascii="Symbol" w:hAnsi="Symbol" w:hint="default"/>
      </w:rPr>
    </w:lvl>
    <w:lvl w:ilvl="1" w:tplc="B9AC81C4">
      <w:start w:val="1"/>
      <w:numFmt w:val="bullet"/>
      <w:pStyle w:val="Odrazka2"/>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AB4422"/>
    <w:multiLevelType w:val="multilevel"/>
    <w:tmpl w:val="0086896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181345B8"/>
    <w:multiLevelType w:val="hybridMultilevel"/>
    <w:tmpl w:val="CE8E97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71421"/>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8220D2"/>
    <w:multiLevelType w:val="multilevel"/>
    <w:tmpl w:val="9A3EE33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25E61E13"/>
    <w:multiLevelType w:val="hybridMultilevel"/>
    <w:tmpl w:val="F69E9B26"/>
    <w:lvl w:ilvl="0" w:tplc="A37EA51C">
      <w:start w:val="1"/>
      <w:numFmt w:val="decimal"/>
      <w:pStyle w:val="Cislovani1"/>
      <w:lvlText w:val="%1)"/>
      <w:lvlJc w:val="left"/>
      <w:pPr>
        <w:ind w:left="720" w:hanging="360"/>
      </w:pPr>
      <w:rPr>
        <w:rFonts w:hint="default"/>
        <w:b w:val="0"/>
      </w:rPr>
    </w:lvl>
    <w:lvl w:ilvl="1" w:tplc="0405000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4928"/>
    <w:multiLevelType w:val="hybridMultilevel"/>
    <w:tmpl w:val="8AFE9364"/>
    <w:lvl w:ilvl="0" w:tplc="88FCB034">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6D423B8"/>
    <w:multiLevelType w:val="hybridMultilevel"/>
    <w:tmpl w:val="0EDC78F8"/>
    <w:lvl w:ilvl="0" w:tplc="88FCB034">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C7D3BFC"/>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494AFC"/>
    <w:multiLevelType w:val="hybridMultilevel"/>
    <w:tmpl w:val="D0FE4D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26559EA"/>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8E7ECD"/>
    <w:multiLevelType w:val="hybridMultilevel"/>
    <w:tmpl w:val="16425E32"/>
    <w:lvl w:ilvl="0" w:tplc="C8A84D6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011178"/>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3B1635"/>
    <w:multiLevelType w:val="hybridMultilevel"/>
    <w:tmpl w:val="68DE7E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62062C2"/>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6F4179"/>
    <w:multiLevelType w:val="hybridMultilevel"/>
    <w:tmpl w:val="0944C82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9C1103E"/>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414274"/>
    <w:multiLevelType w:val="hybridMultilevel"/>
    <w:tmpl w:val="A3988944"/>
    <w:lvl w:ilvl="0" w:tplc="984ACBF8">
      <w:start w:val="1"/>
      <w:numFmt w:val="decimal"/>
      <w:pStyle w:val="NormlnOdsazen"/>
      <w:lvlText w:val="7.%1."/>
      <w:lvlJc w:val="left"/>
      <w:pPr>
        <w:tabs>
          <w:tab w:val="num" w:pos="924"/>
        </w:tabs>
        <w:ind w:left="924" w:hanging="567"/>
      </w:pPr>
      <w:rPr>
        <w:rFonts w:hint="default"/>
        <w:b/>
        <w:color w:val="auto"/>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23E2B1F"/>
    <w:multiLevelType w:val="hybridMultilevel"/>
    <w:tmpl w:val="8E4095C2"/>
    <w:lvl w:ilvl="0" w:tplc="F9E200B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CE4673"/>
    <w:multiLevelType w:val="hybridMultilevel"/>
    <w:tmpl w:val="135632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EF4E53"/>
    <w:multiLevelType w:val="hybridMultilevel"/>
    <w:tmpl w:val="207EC34C"/>
    <w:lvl w:ilvl="0" w:tplc="F9E200B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5" w15:restartNumberingAfterBreak="0">
    <w:nsid w:val="6D8145B1"/>
    <w:multiLevelType w:val="hybridMultilevel"/>
    <w:tmpl w:val="8E828D42"/>
    <w:lvl w:ilvl="0" w:tplc="88FCB034">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E8230B9"/>
    <w:multiLevelType w:val="hybridMultilevel"/>
    <w:tmpl w:val="B80E9AD2"/>
    <w:lvl w:ilvl="0" w:tplc="88FCB034">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04E34B5"/>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605D47"/>
    <w:multiLevelType w:val="hybridMultilevel"/>
    <w:tmpl w:val="AC54B65E"/>
    <w:lvl w:ilvl="0" w:tplc="16760FA4">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0405000F">
      <w:start w:val="1"/>
      <w:numFmt w:val="bullet"/>
      <w:lvlText w:val=""/>
      <w:lvlJc w:val="left"/>
      <w:pPr>
        <w:ind w:left="2880" w:hanging="360"/>
      </w:pPr>
      <w:rPr>
        <w:rFonts w:ascii="Symbol" w:hAnsi="Symbol" w:hint="default"/>
      </w:rPr>
    </w:lvl>
    <w:lvl w:ilvl="4" w:tplc="04050019">
      <w:start w:val="1"/>
      <w:numFmt w:val="bullet"/>
      <w:lvlText w:val="o"/>
      <w:lvlJc w:val="left"/>
      <w:pPr>
        <w:ind w:left="3600" w:hanging="360"/>
      </w:pPr>
      <w:rPr>
        <w:rFonts w:ascii="Courier New" w:hAnsi="Courier New" w:cs="Courier New" w:hint="default"/>
      </w:rPr>
    </w:lvl>
    <w:lvl w:ilvl="5" w:tplc="0405001B">
      <w:start w:val="1"/>
      <w:numFmt w:val="bullet"/>
      <w:lvlText w:val=""/>
      <w:lvlJc w:val="left"/>
      <w:pPr>
        <w:ind w:left="4320" w:hanging="360"/>
      </w:pPr>
      <w:rPr>
        <w:rFonts w:ascii="Wingdings" w:hAnsi="Wingdings" w:hint="default"/>
      </w:rPr>
    </w:lvl>
    <w:lvl w:ilvl="6" w:tplc="0405000F">
      <w:start w:val="1"/>
      <w:numFmt w:val="bullet"/>
      <w:lvlText w:val=""/>
      <w:lvlJc w:val="left"/>
      <w:pPr>
        <w:ind w:left="5040" w:hanging="360"/>
      </w:pPr>
      <w:rPr>
        <w:rFonts w:ascii="Symbol" w:hAnsi="Symbol" w:hint="default"/>
      </w:rPr>
    </w:lvl>
    <w:lvl w:ilvl="7" w:tplc="04050019">
      <w:start w:val="1"/>
      <w:numFmt w:val="bullet"/>
      <w:lvlText w:val="o"/>
      <w:lvlJc w:val="left"/>
      <w:pPr>
        <w:ind w:left="5760" w:hanging="360"/>
      </w:pPr>
      <w:rPr>
        <w:rFonts w:ascii="Courier New" w:hAnsi="Courier New" w:cs="Courier New" w:hint="default"/>
      </w:rPr>
    </w:lvl>
    <w:lvl w:ilvl="8" w:tplc="0405001B">
      <w:start w:val="1"/>
      <w:numFmt w:val="bullet"/>
      <w:lvlText w:val=""/>
      <w:lvlJc w:val="left"/>
      <w:pPr>
        <w:ind w:left="6480" w:hanging="360"/>
      </w:pPr>
      <w:rPr>
        <w:rFonts w:ascii="Wingdings" w:hAnsi="Wingdings" w:hint="default"/>
      </w:rPr>
    </w:lvl>
  </w:abstractNum>
  <w:abstractNum w:abstractNumId="29" w15:restartNumberingAfterBreak="0">
    <w:nsid w:val="7A293938"/>
    <w:multiLevelType w:val="hybridMultilevel"/>
    <w:tmpl w:val="8FCE64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741937"/>
    <w:multiLevelType w:val="hybridMultilevel"/>
    <w:tmpl w:val="B378AA6C"/>
    <w:lvl w:ilvl="0" w:tplc="F7B47A48">
      <w:numFmt w:val="bullet"/>
      <w:lvlText w:val="–"/>
      <w:lvlJc w:val="left"/>
      <w:pPr>
        <w:tabs>
          <w:tab w:val="num" w:pos="720"/>
        </w:tabs>
        <w:ind w:left="720" w:hanging="360"/>
      </w:pPr>
      <w:rPr>
        <w:rFonts w:ascii="Times New Roman" w:eastAsia="Times New Roman" w:hAnsi="Times New Roman" w:cs="Times New Roman" w:hint="default"/>
        <w:b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CA4F0D"/>
    <w:multiLevelType w:val="hybridMultilevel"/>
    <w:tmpl w:val="17DCB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4"/>
  </w:num>
  <w:num w:numId="3">
    <w:abstractNumId w:val="7"/>
  </w:num>
  <w:num w:numId="4">
    <w:abstractNumId w:val="19"/>
  </w:num>
  <w:num w:numId="5">
    <w:abstractNumId w:val="3"/>
  </w:num>
  <w:num w:numId="6">
    <w:abstractNumId w:val="8"/>
  </w:num>
  <w:num w:numId="7">
    <w:abstractNumId w:val="2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5"/>
  </w:num>
  <w:num w:numId="12">
    <w:abstractNumId w:val="28"/>
  </w:num>
  <w:num w:numId="13">
    <w:abstractNumId w:val="12"/>
  </w:num>
  <w:num w:numId="14">
    <w:abstractNumId w:val="6"/>
  </w:num>
  <w:num w:numId="15">
    <w:abstractNumId w:val="13"/>
  </w:num>
  <w:num w:numId="16">
    <w:abstractNumId w:val="17"/>
  </w:num>
  <w:num w:numId="17">
    <w:abstractNumId w:val="31"/>
  </w:num>
  <w:num w:numId="18">
    <w:abstractNumId w:val="2"/>
  </w:num>
  <w:num w:numId="19">
    <w:abstractNumId w:val="27"/>
  </w:num>
  <w:num w:numId="20">
    <w:abstractNumId w:val="11"/>
  </w:num>
  <w:num w:numId="21">
    <w:abstractNumId w:val="4"/>
  </w:num>
  <w:num w:numId="22">
    <w:abstractNumId w:val="21"/>
  </w:num>
  <w:num w:numId="23">
    <w:abstractNumId w:val="30"/>
  </w:num>
  <w:num w:numId="24">
    <w:abstractNumId w:val="23"/>
  </w:num>
  <w:num w:numId="25">
    <w:abstractNumId w:val="18"/>
  </w:num>
  <w:num w:numId="26">
    <w:abstractNumId w:val="14"/>
  </w:num>
  <w:num w:numId="27">
    <w:abstractNumId w:val="3"/>
  </w:num>
  <w:num w:numId="28">
    <w:abstractNumId w:val="9"/>
  </w:num>
  <w:num w:numId="29">
    <w:abstractNumId w:val="26"/>
  </w:num>
  <w:num w:numId="30">
    <w:abstractNumId w:val="25"/>
  </w:num>
  <w:num w:numId="31">
    <w:abstractNumId w:val="22"/>
  </w:num>
  <w:num w:numId="32">
    <w:abstractNumId w:val="10"/>
  </w:num>
  <w:num w:numId="33">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drawingGridHorizontalSpacing w:val="100"/>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B67"/>
    <w:rsid w:val="00004C65"/>
    <w:rsid w:val="00007D06"/>
    <w:rsid w:val="00010B69"/>
    <w:rsid w:val="000122D3"/>
    <w:rsid w:val="000126C0"/>
    <w:rsid w:val="0002126C"/>
    <w:rsid w:val="00021718"/>
    <w:rsid w:val="00026FFB"/>
    <w:rsid w:val="00034C9E"/>
    <w:rsid w:val="00034D53"/>
    <w:rsid w:val="0004011A"/>
    <w:rsid w:val="00044537"/>
    <w:rsid w:val="000474D5"/>
    <w:rsid w:val="00047FFA"/>
    <w:rsid w:val="00050A53"/>
    <w:rsid w:val="000532FA"/>
    <w:rsid w:val="000540EE"/>
    <w:rsid w:val="00054718"/>
    <w:rsid w:val="00060CBA"/>
    <w:rsid w:val="000629A0"/>
    <w:rsid w:val="00063160"/>
    <w:rsid w:val="0006447B"/>
    <w:rsid w:val="00065116"/>
    <w:rsid w:val="00066803"/>
    <w:rsid w:val="00072CAB"/>
    <w:rsid w:val="0007300C"/>
    <w:rsid w:val="000757F6"/>
    <w:rsid w:val="00076B53"/>
    <w:rsid w:val="000807A8"/>
    <w:rsid w:val="00084039"/>
    <w:rsid w:val="0008441F"/>
    <w:rsid w:val="000865DB"/>
    <w:rsid w:val="000872CC"/>
    <w:rsid w:val="00091A2F"/>
    <w:rsid w:val="00092056"/>
    <w:rsid w:val="00093271"/>
    <w:rsid w:val="00093B80"/>
    <w:rsid w:val="000A0EF8"/>
    <w:rsid w:val="000A3615"/>
    <w:rsid w:val="000A38C2"/>
    <w:rsid w:val="000A47BE"/>
    <w:rsid w:val="000A47DA"/>
    <w:rsid w:val="000A5E6D"/>
    <w:rsid w:val="000A7B42"/>
    <w:rsid w:val="000B2262"/>
    <w:rsid w:val="000B27E9"/>
    <w:rsid w:val="000B3613"/>
    <w:rsid w:val="000B38DE"/>
    <w:rsid w:val="000B5AD1"/>
    <w:rsid w:val="000C2F9C"/>
    <w:rsid w:val="000C395D"/>
    <w:rsid w:val="000C7684"/>
    <w:rsid w:val="000C7789"/>
    <w:rsid w:val="000C7B1D"/>
    <w:rsid w:val="000D18EE"/>
    <w:rsid w:val="000D2092"/>
    <w:rsid w:val="000D2F35"/>
    <w:rsid w:val="000D31AF"/>
    <w:rsid w:val="000D514A"/>
    <w:rsid w:val="000D5429"/>
    <w:rsid w:val="000D54AC"/>
    <w:rsid w:val="000E2765"/>
    <w:rsid w:val="000E391F"/>
    <w:rsid w:val="000E4E38"/>
    <w:rsid w:val="000E599B"/>
    <w:rsid w:val="000E79F6"/>
    <w:rsid w:val="000F2C36"/>
    <w:rsid w:val="000F3116"/>
    <w:rsid w:val="000F4F8E"/>
    <w:rsid w:val="0010027E"/>
    <w:rsid w:val="00100BD2"/>
    <w:rsid w:val="0010280E"/>
    <w:rsid w:val="00103401"/>
    <w:rsid w:val="00103C7C"/>
    <w:rsid w:val="001042EF"/>
    <w:rsid w:val="00105844"/>
    <w:rsid w:val="0010767B"/>
    <w:rsid w:val="00114BEB"/>
    <w:rsid w:val="00115496"/>
    <w:rsid w:val="001164ED"/>
    <w:rsid w:val="00117B28"/>
    <w:rsid w:val="0012102A"/>
    <w:rsid w:val="001215CA"/>
    <w:rsid w:val="0012229D"/>
    <w:rsid w:val="00123A33"/>
    <w:rsid w:val="00123DDF"/>
    <w:rsid w:val="001254C8"/>
    <w:rsid w:val="0012585E"/>
    <w:rsid w:val="00126FC3"/>
    <w:rsid w:val="00127A0A"/>
    <w:rsid w:val="00130005"/>
    <w:rsid w:val="00132D4C"/>
    <w:rsid w:val="00140A33"/>
    <w:rsid w:val="00143F5D"/>
    <w:rsid w:val="001457B5"/>
    <w:rsid w:val="001531F6"/>
    <w:rsid w:val="00153B9D"/>
    <w:rsid w:val="001639C8"/>
    <w:rsid w:val="001658F0"/>
    <w:rsid w:val="00166C86"/>
    <w:rsid w:val="00170C44"/>
    <w:rsid w:val="001711E2"/>
    <w:rsid w:val="00177914"/>
    <w:rsid w:val="0018039F"/>
    <w:rsid w:val="00181048"/>
    <w:rsid w:val="0018150D"/>
    <w:rsid w:val="0018183F"/>
    <w:rsid w:val="00181ABA"/>
    <w:rsid w:val="00182C1B"/>
    <w:rsid w:val="001877B2"/>
    <w:rsid w:val="001906C0"/>
    <w:rsid w:val="001929F1"/>
    <w:rsid w:val="00194825"/>
    <w:rsid w:val="00194F58"/>
    <w:rsid w:val="001973DE"/>
    <w:rsid w:val="001A09FA"/>
    <w:rsid w:val="001A2EA3"/>
    <w:rsid w:val="001A363B"/>
    <w:rsid w:val="001A40D7"/>
    <w:rsid w:val="001A6B62"/>
    <w:rsid w:val="001A77F3"/>
    <w:rsid w:val="001B24F6"/>
    <w:rsid w:val="001B2751"/>
    <w:rsid w:val="001B610C"/>
    <w:rsid w:val="001C58D2"/>
    <w:rsid w:val="001D225B"/>
    <w:rsid w:val="001D24C5"/>
    <w:rsid w:val="001D58B0"/>
    <w:rsid w:val="001D73F3"/>
    <w:rsid w:val="001E0598"/>
    <w:rsid w:val="001E1416"/>
    <w:rsid w:val="001E785C"/>
    <w:rsid w:val="001F0901"/>
    <w:rsid w:val="001F2626"/>
    <w:rsid w:val="001F4D4C"/>
    <w:rsid w:val="001F56E0"/>
    <w:rsid w:val="001F5A83"/>
    <w:rsid w:val="001F6A91"/>
    <w:rsid w:val="00200CAE"/>
    <w:rsid w:val="00200DE1"/>
    <w:rsid w:val="00201AF5"/>
    <w:rsid w:val="00203242"/>
    <w:rsid w:val="0020426B"/>
    <w:rsid w:val="00205748"/>
    <w:rsid w:val="002106F3"/>
    <w:rsid w:val="00211202"/>
    <w:rsid w:val="00211A9C"/>
    <w:rsid w:val="00214CEA"/>
    <w:rsid w:val="002152BD"/>
    <w:rsid w:val="002154A5"/>
    <w:rsid w:val="0021634E"/>
    <w:rsid w:val="002224A7"/>
    <w:rsid w:val="00225617"/>
    <w:rsid w:val="00227855"/>
    <w:rsid w:val="00230561"/>
    <w:rsid w:val="00230C6C"/>
    <w:rsid w:val="00231C09"/>
    <w:rsid w:val="002368B3"/>
    <w:rsid w:val="00236A24"/>
    <w:rsid w:val="0024032C"/>
    <w:rsid w:val="00243EA8"/>
    <w:rsid w:val="00245AD9"/>
    <w:rsid w:val="00246467"/>
    <w:rsid w:val="00250F78"/>
    <w:rsid w:val="00252629"/>
    <w:rsid w:val="00255015"/>
    <w:rsid w:val="00255B1E"/>
    <w:rsid w:val="002575D4"/>
    <w:rsid w:val="002601BB"/>
    <w:rsid w:val="00261E51"/>
    <w:rsid w:val="00262AC0"/>
    <w:rsid w:val="002663A8"/>
    <w:rsid w:val="00267544"/>
    <w:rsid w:val="00267821"/>
    <w:rsid w:val="00271F38"/>
    <w:rsid w:val="0027269B"/>
    <w:rsid w:val="00277491"/>
    <w:rsid w:val="00280300"/>
    <w:rsid w:val="002907F2"/>
    <w:rsid w:val="00291C3B"/>
    <w:rsid w:val="002A231E"/>
    <w:rsid w:val="002A7A36"/>
    <w:rsid w:val="002B0379"/>
    <w:rsid w:val="002B2AA6"/>
    <w:rsid w:val="002B2E3F"/>
    <w:rsid w:val="002B43FA"/>
    <w:rsid w:val="002C0D7C"/>
    <w:rsid w:val="002C2143"/>
    <w:rsid w:val="002C5645"/>
    <w:rsid w:val="002C67CB"/>
    <w:rsid w:val="002C6AAF"/>
    <w:rsid w:val="002D024A"/>
    <w:rsid w:val="002D11CC"/>
    <w:rsid w:val="002D20E6"/>
    <w:rsid w:val="002E01B4"/>
    <w:rsid w:val="002E0A6E"/>
    <w:rsid w:val="002E2A18"/>
    <w:rsid w:val="002E38E6"/>
    <w:rsid w:val="002E4E10"/>
    <w:rsid w:val="002E66EB"/>
    <w:rsid w:val="002E7B06"/>
    <w:rsid w:val="002F04CC"/>
    <w:rsid w:val="002F1767"/>
    <w:rsid w:val="002F184A"/>
    <w:rsid w:val="002F4B00"/>
    <w:rsid w:val="002F4C59"/>
    <w:rsid w:val="002F68E8"/>
    <w:rsid w:val="00305059"/>
    <w:rsid w:val="00305E42"/>
    <w:rsid w:val="00307CA4"/>
    <w:rsid w:val="00311CE0"/>
    <w:rsid w:val="00313E9A"/>
    <w:rsid w:val="003141E3"/>
    <w:rsid w:val="00314456"/>
    <w:rsid w:val="00315D27"/>
    <w:rsid w:val="00320207"/>
    <w:rsid w:val="0032140E"/>
    <w:rsid w:val="003246CD"/>
    <w:rsid w:val="00330F50"/>
    <w:rsid w:val="0033169F"/>
    <w:rsid w:val="003316CA"/>
    <w:rsid w:val="00331CC1"/>
    <w:rsid w:val="00333244"/>
    <w:rsid w:val="00334761"/>
    <w:rsid w:val="00335BD1"/>
    <w:rsid w:val="00341044"/>
    <w:rsid w:val="00341DA5"/>
    <w:rsid w:val="00343051"/>
    <w:rsid w:val="00346BA3"/>
    <w:rsid w:val="00347724"/>
    <w:rsid w:val="003515AF"/>
    <w:rsid w:val="003521F7"/>
    <w:rsid w:val="0035234A"/>
    <w:rsid w:val="00352851"/>
    <w:rsid w:val="00352A6B"/>
    <w:rsid w:val="003569B9"/>
    <w:rsid w:val="00356E8A"/>
    <w:rsid w:val="00357737"/>
    <w:rsid w:val="00363866"/>
    <w:rsid w:val="003668A9"/>
    <w:rsid w:val="00370742"/>
    <w:rsid w:val="0037170D"/>
    <w:rsid w:val="003734CA"/>
    <w:rsid w:val="00373B14"/>
    <w:rsid w:val="0037422B"/>
    <w:rsid w:val="00377492"/>
    <w:rsid w:val="0038767B"/>
    <w:rsid w:val="00387FB2"/>
    <w:rsid w:val="003926EF"/>
    <w:rsid w:val="00392AE4"/>
    <w:rsid w:val="00393F45"/>
    <w:rsid w:val="00395CA6"/>
    <w:rsid w:val="00397CF1"/>
    <w:rsid w:val="003A00F2"/>
    <w:rsid w:val="003A12FF"/>
    <w:rsid w:val="003A1A90"/>
    <w:rsid w:val="003A2BC2"/>
    <w:rsid w:val="003B1B68"/>
    <w:rsid w:val="003B302B"/>
    <w:rsid w:val="003B41B1"/>
    <w:rsid w:val="003B5716"/>
    <w:rsid w:val="003B63B6"/>
    <w:rsid w:val="003C0505"/>
    <w:rsid w:val="003C0F95"/>
    <w:rsid w:val="003C13AF"/>
    <w:rsid w:val="003C16BD"/>
    <w:rsid w:val="003C3804"/>
    <w:rsid w:val="003C511B"/>
    <w:rsid w:val="003C5D04"/>
    <w:rsid w:val="003D703A"/>
    <w:rsid w:val="003D779B"/>
    <w:rsid w:val="003E2E46"/>
    <w:rsid w:val="003E7F90"/>
    <w:rsid w:val="003F2967"/>
    <w:rsid w:val="003F68B2"/>
    <w:rsid w:val="003F6FF4"/>
    <w:rsid w:val="004005C2"/>
    <w:rsid w:val="00401EEC"/>
    <w:rsid w:val="0040771D"/>
    <w:rsid w:val="0041257C"/>
    <w:rsid w:val="0041378B"/>
    <w:rsid w:val="00413EF6"/>
    <w:rsid w:val="004152C8"/>
    <w:rsid w:val="00415332"/>
    <w:rsid w:val="004200A9"/>
    <w:rsid w:val="00420DDE"/>
    <w:rsid w:val="00425743"/>
    <w:rsid w:val="00425926"/>
    <w:rsid w:val="00430CF6"/>
    <w:rsid w:val="00431A74"/>
    <w:rsid w:val="00431AF8"/>
    <w:rsid w:val="0043297D"/>
    <w:rsid w:val="00434074"/>
    <w:rsid w:val="00437286"/>
    <w:rsid w:val="00442D7B"/>
    <w:rsid w:val="00443990"/>
    <w:rsid w:val="0044401C"/>
    <w:rsid w:val="0044633C"/>
    <w:rsid w:val="004474DC"/>
    <w:rsid w:val="00447655"/>
    <w:rsid w:val="0045002F"/>
    <w:rsid w:val="00453763"/>
    <w:rsid w:val="00456098"/>
    <w:rsid w:val="004571A7"/>
    <w:rsid w:val="00461284"/>
    <w:rsid w:val="00461FF8"/>
    <w:rsid w:val="00466BC5"/>
    <w:rsid w:val="0046767A"/>
    <w:rsid w:val="004757EF"/>
    <w:rsid w:val="00484511"/>
    <w:rsid w:val="00484F9C"/>
    <w:rsid w:val="00486106"/>
    <w:rsid w:val="004917CD"/>
    <w:rsid w:val="00491F4F"/>
    <w:rsid w:val="00493757"/>
    <w:rsid w:val="004A03D4"/>
    <w:rsid w:val="004A18D6"/>
    <w:rsid w:val="004A691D"/>
    <w:rsid w:val="004A783A"/>
    <w:rsid w:val="004A799E"/>
    <w:rsid w:val="004B04D2"/>
    <w:rsid w:val="004B3064"/>
    <w:rsid w:val="004B3AAB"/>
    <w:rsid w:val="004B3C55"/>
    <w:rsid w:val="004B4D5B"/>
    <w:rsid w:val="004B510C"/>
    <w:rsid w:val="004B7BFC"/>
    <w:rsid w:val="004C3BC2"/>
    <w:rsid w:val="004C4EE6"/>
    <w:rsid w:val="004C56B5"/>
    <w:rsid w:val="004D3925"/>
    <w:rsid w:val="004D4C19"/>
    <w:rsid w:val="004D56AD"/>
    <w:rsid w:val="004D5AB0"/>
    <w:rsid w:val="004D6A0D"/>
    <w:rsid w:val="004D77DD"/>
    <w:rsid w:val="004E031F"/>
    <w:rsid w:val="004F1A92"/>
    <w:rsid w:val="004F1C7C"/>
    <w:rsid w:val="004F28AE"/>
    <w:rsid w:val="004F5071"/>
    <w:rsid w:val="004F6551"/>
    <w:rsid w:val="004F67D9"/>
    <w:rsid w:val="005029DF"/>
    <w:rsid w:val="00505224"/>
    <w:rsid w:val="0050716F"/>
    <w:rsid w:val="00510033"/>
    <w:rsid w:val="00510E96"/>
    <w:rsid w:val="005126AB"/>
    <w:rsid w:val="00513026"/>
    <w:rsid w:val="00515D31"/>
    <w:rsid w:val="005168F3"/>
    <w:rsid w:val="00520AC0"/>
    <w:rsid w:val="005211E7"/>
    <w:rsid w:val="005245B2"/>
    <w:rsid w:val="00527783"/>
    <w:rsid w:val="00527C96"/>
    <w:rsid w:val="0053005A"/>
    <w:rsid w:val="00531328"/>
    <w:rsid w:val="005321FB"/>
    <w:rsid w:val="005336DA"/>
    <w:rsid w:val="0053474C"/>
    <w:rsid w:val="00535629"/>
    <w:rsid w:val="00536AFD"/>
    <w:rsid w:val="00541C42"/>
    <w:rsid w:val="00541EE4"/>
    <w:rsid w:val="005435D2"/>
    <w:rsid w:val="00543772"/>
    <w:rsid w:val="00551E1A"/>
    <w:rsid w:val="00551E43"/>
    <w:rsid w:val="00553F35"/>
    <w:rsid w:val="00554BF9"/>
    <w:rsid w:val="00557270"/>
    <w:rsid w:val="0055731C"/>
    <w:rsid w:val="00563DCE"/>
    <w:rsid w:val="005663A8"/>
    <w:rsid w:val="00575791"/>
    <w:rsid w:val="00576D57"/>
    <w:rsid w:val="00576F42"/>
    <w:rsid w:val="00580AEB"/>
    <w:rsid w:val="00580FD5"/>
    <w:rsid w:val="0058161E"/>
    <w:rsid w:val="00587863"/>
    <w:rsid w:val="00592878"/>
    <w:rsid w:val="00592A4B"/>
    <w:rsid w:val="00593E4B"/>
    <w:rsid w:val="0059580B"/>
    <w:rsid w:val="005A0C99"/>
    <w:rsid w:val="005A1936"/>
    <w:rsid w:val="005A2CE6"/>
    <w:rsid w:val="005A4906"/>
    <w:rsid w:val="005A7F4C"/>
    <w:rsid w:val="005B06BE"/>
    <w:rsid w:val="005B20DA"/>
    <w:rsid w:val="005B543C"/>
    <w:rsid w:val="005B653E"/>
    <w:rsid w:val="005B7BA4"/>
    <w:rsid w:val="005C088A"/>
    <w:rsid w:val="005C0AB6"/>
    <w:rsid w:val="005C5B4E"/>
    <w:rsid w:val="005C6ED8"/>
    <w:rsid w:val="005D2669"/>
    <w:rsid w:val="005D3E88"/>
    <w:rsid w:val="005D4A7F"/>
    <w:rsid w:val="005D4B14"/>
    <w:rsid w:val="005D4B6D"/>
    <w:rsid w:val="005D615F"/>
    <w:rsid w:val="005D66BE"/>
    <w:rsid w:val="005D6BF6"/>
    <w:rsid w:val="005D7F70"/>
    <w:rsid w:val="005E5136"/>
    <w:rsid w:val="005F3F3E"/>
    <w:rsid w:val="005F44C8"/>
    <w:rsid w:val="005F5D91"/>
    <w:rsid w:val="005F6A90"/>
    <w:rsid w:val="005F753F"/>
    <w:rsid w:val="006006CE"/>
    <w:rsid w:val="006024B9"/>
    <w:rsid w:val="0060282B"/>
    <w:rsid w:val="006158A9"/>
    <w:rsid w:val="00615C0C"/>
    <w:rsid w:val="00623EE7"/>
    <w:rsid w:val="006268E7"/>
    <w:rsid w:val="00626C06"/>
    <w:rsid w:val="0062725A"/>
    <w:rsid w:val="00630DE5"/>
    <w:rsid w:val="00631E84"/>
    <w:rsid w:val="00632468"/>
    <w:rsid w:val="006326CA"/>
    <w:rsid w:val="00634017"/>
    <w:rsid w:val="00634BF7"/>
    <w:rsid w:val="00636C54"/>
    <w:rsid w:val="00645C91"/>
    <w:rsid w:val="00646572"/>
    <w:rsid w:val="0065157D"/>
    <w:rsid w:val="00652782"/>
    <w:rsid w:val="00652B4E"/>
    <w:rsid w:val="00652F76"/>
    <w:rsid w:val="006556A7"/>
    <w:rsid w:val="00656329"/>
    <w:rsid w:val="00660E65"/>
    <w:rsid w:val="00663A38"/>
    <w:rsid w:val="00666BA5"/>
    <w:rsid w:val="00684F58"/>
    <w:rsid w:val="006874BB"/>
    <w:rsid w:val="00687C99"/>
    <w:rsid w:val="00687D0C"/>
    <w:rsid w:val="00690677"/>
    <w:rsid w:val="00690D3F"/>
    <w:rsid w:val="00694A76"/>
    <w:rsid w:val="00695EAD"/>
    <w:rsid w:val="00696365"/>
    <w:rsid w:val="00697E4E"/>
    <w:rsid w:val="006A1EA8"/>
    <w:rsid w:val="006A22CF"/>
    <w:rsid w:val="006A25BC"/>
    <w:rsid w:val="006A60AD"/>
    <w:rsid w:val="006A7FD7"/>
    <w:rsid w:val="006B07A7"/>
    <w:rsid w:val="006B2767"/>
    <w:rsid w:val="006B72B3"/>
    <w:rsid w:val="006B7C35"/>
    <w:rsid w:val="006C0EA6"/>
    <w:rsid w:val="006C5433"/>
    <w:rsid w:val="006C5BB7"/>
    <w:rsid w:val="006D1A9B"/>
    <w:rsid w:val="006D1C4B"/>
    <w:rsid w:val="006D220E"/>
    <w:rsid w:val="006D2481"/>
    <w:rsid w:val="006D3C93"/>
    <w:rsid w:val="006D5BC3"/>
    <w:rsid w:val="006F0F9C"/>
    <w:rsid w:val="006F2536"/>
    <w:rsid w:val="006F322B"/>
    <w:rsid w:val="006F708A"/>
    <w:rsid w:val="007044F1"/>
    <w:rsid w:val="00706AE5"/>
    <w:rsid w:val="00711877"/>
    <w:rsid w:val="00714086"/>
    <w:rsid w:val="007148FC"/>
    <w:rsid w:val="00720F9E"/>
    <w:rsid w:val="0072303C"/>
    <w:rsid w:val="007237D9"/>
    <w:rsid w:val="0072442D"/>
    <w:rsid w:val="007274A0"/>
    <w:rsid w:val="007275B4"/>
    <w:rsid w:val="007277D7"/>
    <w:rsid w:val="0073137B"/>
    <w:rsid w:val="00731D55"/>
    <w:rsid w:val="00735431"/>
    <w:rsid w:val="0073738D"/>
    <w:rsid w:val="00742CB3"/>
    <w:rsid w:val="00742D54"/>
    <w:rsid w:val="0074312E"/>
    <w:rsid w:val="00743634"/>
    <w:rsid w:val="00745269"/>
    <w:rsid w:val="00745DC3"/>
    <w:rsid w:val="00747203"/>
    <w:rsid w:val="007475B7"/>
    <w:rsid w:val="00750B0A"/>
    <w:rsid w:val="007534C6"/>
    <w:rsid w:val="007558D3"/>
    <w:rsid w:val="00756104"/>
    <w:rsid w:val="00756808"/>
    <w:rsid w:val="00757C28"/>
    <w:rsid w:val="00757DD6"/>
    <w:rsid w:val="00760297"/>
    <w:rsid w:val="00763AEB"/>
    <w:rsid w:val="00764AD5"/>
    <w:rsid w:val="00765E2F"/>
    <w:rsid w:val="00766005"/>
    <w:rsid w:val="0077131B"/>
    <w:rsid w:val="00772A7D"/>
    <w:rsid w:val="0077308E"/>
    <w:rsid w:val="00782324"/>
    <w:rsid w:val="00782920"/>
    <w:rsid w:val="007833D9"/>
    <w:rsid w:val="00783D1A"/>
    <w:rsid w:val="0078753D"/>
    <w:rsid w:val="0078770D"/>
    <w:rsid w:val="007921BA"/>
    <w:rsid w:val="00793772"/>
    <w:rsid w:val="0079405E"/>
    <w:rsid w:val="007944BB"/>
    <w:rsid w:val="00794F05"/>
    <w:rsid w:val="007A3482"/>
    <w:rsid w:val="007A3A74"/>
    <w:rsid w:val="007A43E7"/>
    <w:rsid w:val="007A694F"/>
    <w:rsid w:val="007B1F3D"/>
    <w:rsid w:val="007B5E23"/>
    <w:rsid w:val="007B7D71"/>
    <w:rsid w:val="007C0054"/>
    <w:rsid w:val="007C1BCE"/>
    <w:rsid w:val="007C1FBD"/>
    <w:rsid w:val="007C3023"/>
    <w:rsid w:val="007C39A0"/>
    <w:rsid w:val="007C4355"/>
    <w:rsid w:val="007C6D77"/>
    <w:rsid w:val="007D3AD0"/>
    <w:rsid w:val="007D65BE"/>
    <w:rsid w:val="007D6ECD"/>
    <w:rsid w:val="007E11D3"/>
    <w:rsid w:val="007E18B7"/>
    <w:rsid w:val="007E34A5"/>
    <w:rsid w:val="007E50D4"/>
    <w:rsid w:val="007E5310"/>
    <w:rsid w:val="007E5C01"/>
    <w:rsid w:val="007F09FD"/>
    <w:rsid w:val="007F3C64"/>
    <w:rsid w:val="007F4672"/>
    <w:rsid w:val="007F48FA"/>
    <w:rsid w:val="007F5022"/>
    <w:rsid w:val="008005A8"/>
    <w:rsid w:val="00802C13"/>
    <w:rsid w:val="0080721D"/>
    <w:rsid w:val="00807C26"/>
    <w:rsid w:val="00812E01"/>
    <w:rsid w:val="00814E17"/>
    <w:rsid w:val="00814E44"/>
    <w:rsid w:val="00820287"/>
    <w:rsid w:val="0082029F"/>
    <w:rsid w:val="00823B9D"/>
    <w:rsid w:val="00824019"/>
    <w:rsid w:val="00826166"/>
    <w:rsid w:val="0082647C"/>
    <w:rsid w:val="008264CE"/>
    <w:rsid w:val="008306C9"/>
    <w:rsid w:val="00832160"/>
    <w:rsid w:val="00832D21"/>
    <w:rsid w:val="0083368B"/>
    <w:rsid w:val="00834ED2"/>
    <w:rsid w:val="00837611"/>
    <w:rsid w:val="00837968"/>
    <w:rsid w:val="00837F0D"/>
    <w:rsid w:val="0084013D"/>
    <w:rsid w:val="0084128B"/>
    <w:rsid w:val="00842F99"/>
    <w:rsid w:val="00844096"/>
    <w:rsid w:val="00844184"/>
    <w:rsid w:val="0084658B"/>
    <w:rsid w:val="00847613"/>
    <w:rsid w:val="008509BB"/>
    <w:rsid w:val="008616C9"/>
    <w:rsid w:val="00862707"/>
    <w:rsid w:val="00864CE3"/>
    <w:rsid w:val="00864D6D"/>
    <w:rsid w:val="0087047E"/>
    <w:rsid w:val="00870FF8"/>
    <w:rsid w:val="0087205F"/>
    <w:rsid w:val="00873FE0"/>
    <w:rsid w:val="00874EA7"/>
    <w:rsid w:val="008764AE"/>
    <w:rsid w:val="0087710F"/>
    <w:rsid w:val="00877961"/>
    <w:rsid w:val="00883B07"/>
    <w:rsid w:val="00885B79"/>
    <w:rsid w:val="00885B82"/>
    <w:rsid w:val="008864AD"/>
    <w:rsid w:val="0088650D"/>
    <w:rsid w:val="00886F42"/>
    <w:rsid w:val="00890617"/>
    <w:rsid w:val="00891712"/>
    <w:rsid w:val="00891B67"/>
    <w:rsid w:val="00895F35"/>
    <w:rsid w:val="00896ABA"/>
    <w:rsid w:val="00896D0E"/>
    <w:rsid w:val="00897A4A"/>
    <w:rsid w:val="00897A5C"/>
    <w:rsid w:val="008A3CD1"/>
    <w:rsid w:val="008A50DF"/>
    <w:rsid w:val="008B0BA3"/>
    <w:rsid w:val="008B1AB7"/>
    <w:rsid w:val="008B3377"/>
    <w:rsid w:val="008B4219"/>
    <w:rsid w:val="008B43F4"/>
    <w:rsid w:val="008B4A0E"/>
    <w:rsid w:val="008B6550"/>
    <w:rsid w:val="008B745A"/>
    <w:rsid w:val="008C0942"/>
    <w:rsid w:val="008C3F89"/>
    <w:rsid w:val="008C5A3B"/>
    <w:rsid w:val="008C7BE7"/>
    <w:rsid w:val="008C7C75"/>
    <w:rsid w:val="008D08DA"/>
    <w:rsid w:val="008D1094"/>
    <w:rsid w:val="008D2AE1"/>
    <w:rsid w:val="008D2E9B"/>
    <w:rsid w:val="008D415D"/>
    <w:rsid w:val="008D4E30"/>
    <w:rsid w:val="008D6A41"/>
    <w:rsid w:val="008E1848"/>
    <w:rsid w:val="008E3D06"/>
    <w:rsid w:val="008E4DA3"/>
    <w:rsid w:val="008E5542"/>
    <w:rsid w:val="008F0CB5"/>
    <w:rsid w:val="008F32D2"/>
    <w:rsid w:val="008F3333"/>
    <w:rsid w:val="009028D9"/>
    <w:rsid w:val="00904D2F"/>
    <w:rsid w:val="0090685B"/>
    <w:rsid w:val="0091088D"/>
    <w:rsid w:val="009118E0"/>
    <w:rsid w:val="00912329"/>
    <w:rsid w:val="00912719"/>
    <w:rsid w:val="00912F6F"/>
    <w:rsid w:val="00913654"/>
    <w:rsid w:val="009139B4"/>
    <w:rsid w:val="009139BF"/>
    <w:rsid w:val="009231D1"/>
    <w:rsid w:val="00924576"/>
    <w:rsid w:val="00924CCB"/>
    <w:rsid w:val="00926382"/>
    <w:rsid w:val="009356C2"/>
    <w:rsid w:val="00937A2F"/>
    <w:rsid w:val="00940B7B"/>
    <w:rsid w:val="009417C4"/>
    <w:rsid w:val="009418F4"/>
    <w:rsid w:val="00942001"/>
    <w:rsid w:val="00944CB8"/>
    <w:rsid w:val="00950D10"/>
    <w:rsid w:val="00951D22"/>
    <w:rsid w:val="00965C72"/>
    <w:rsid w:val="00966EEC"/>
    <w:rsid w:val="009712DD"/>
    <w:rsid w:val="009738EC"/>
    <w:rsid w:val="0097443D"/>
    <w:rsid w:val="00974878"/>
    <w:rsid w:val="00975A2E"/>
    <w:rsid w:val="0097620F"/>
    <w:rsid w:val="009804EB"/>
    <w:rsid w:val="0098475B"/>
    <w:rsid w:val="00984D3D"/>
    <w:rsid w:val="00986D20"/>
    <w:rsid w:val="00995A6E"/>
    <w:rsid w:val="00995FAB"/>
    <w:rsid w:val="009A29D9"/>
    <w:rsid w:val="009A4256"/>
    <w:rsid w:val="009A44FA"/>
    <w:rsid w:val="009A476F"/>
    <w:rsid w:val="009A7664"/>
    <w:rsid w:val="009B1136"/>
    <w:rsid w:val="009B19D1"/>
    <w:rsid w:val="009B27A2"/>
    <w:rsid w:val="009B4855"/>
    <w:rsid w:val="009C0C13"/>
    <w:rsid w:val="009C2FC6"/>
    <w:rsid w:val="009C560E"/>
    <w:rsid w:val="009C66EE"/>
    <w:rsid w:val="009C67B2"/>
    <w:rsid w:val="009C7280"/>
    <w:rsid w:val="009D10BA"/>
    <w:rsid w:val="009D196F"/>
    <w:rsid w:val="009D4672"/>
    <w:rsid w:val="009D51E9"/>
    <w:rsid w:val="009D6671"/>
    <w:rsid w:val="009D690A"/>
    <w:rsid w:val="009D6AFD"/>
    <w:rsid w:val="009E3A90"/>
    <w:rsid w:val="009E546E"/>
    <w:rsid w:val="009F14C2"/>
    <w:rsid w:val="009F3428"/>
    <w:rsid w:val="009F4672"/>
    <w:rsid w:val="00A03205"/>
    <w:rsid w:val="00A03CE0"/>
    <w:rsid w:val="00A04E31"/>
    <w:rsid w:val="00A06926"/>
    <w:rsid w:val="00A07272"/>
    <w:rsid w:val="00A077B0"/>
    <w:rsid w:val="00A1033D"/>
    <w:rsid w:val="00A13051"/>
    <w:rsid w:val="00A152AD"/>
    <w:rsid w:val="00A224DA"/>
    <w:rsid w:val="00A22C4B"/>
    <w:rsid w:val="00A22E90"/>
    <w:rsid w:val="00A23437"/>
    <w:rsid w:val="00A23BA4"/>
    <w:rsid w:val="00A26499"/>
    <w:rsid w:val="00A271A8"/>
    <w:rsid w:val="00A32B89"/>
    <w:rsid w:val="00A3379F"/>
    <w:rsid w:val="00A4690D"/>
    <w:rsid w:val="00A52604"/>
    <w:rsid w:val="00A52F05"/>
    <w:rsid w:val="00A574E3"/>
    <w:rsid w:val="00A57D08"/>
    <w:rsid w:val="00A603DB"/>
    <w:rsid w:val="00A638B0"/>
    <w:rsid w:val="00A675DA"/>
    <w:rsid w:val="00A676D1"/>
    <w:rsid w:val="00A71F85"/>
    <w:rsid w:val="00A751A7"/>
    <w:rsid w:val="00A77AEC"/>
    <w:rsid w:val="00A811EB"/>
    <w:rsid w:val="00A82537"/>
    <w:rsid w:val="00A82602"/>
    <w:rsid w:val="00A82737"/>
    <w:rsid w:val="00A82E3C"/>
    <w:rsid w:val="00A82FF3"/>
    <w:rsid w:val="00A833B3"/>
    <w:rsid w:val="00A84183"/>
    <w:rsid w:val="00A84D09"/>
    <w:rsid w:val="00A9201E"/>
    <w:rsid w:val="00A94006"/>
    <w:rsid w:val="00A96F3A"/>
    <w:rsid w:val="00AA032F"/>
    <w:rsid w:val="00AA107D"/>
    <w:rsid w:val="00AA2E6C"/>
    <w:rsid w:val="00AA379C"/>
    <w:rsid w:val="00AA519C"/>
    <w:rsid w:val="00AA53B1"/>
    <w:rsid w:val="00AA66B7"/>
    <w:rsid w:val="00AA7261"/>
    <w:rsid w:val="00AA7533"/>
    <w:rsid w:val="00AB24E7"/>
    <w:rsid w:val="00AB45AA"/>
    <w:rsid w:val="00AB4A78"/>
    <w:rsid w:val="00AC0A6E"/>
    <w:rsid w:val="00AC0F9F"/>
    <w:rsid w:val="00AC1961"/>
    <w:rsid w:val="00AC316F"/>
    <w:rsid w:val="00AC4B13"/>
    <w:rsid w:val="00AC61B8"/>
    <w:rsid w:val="00AD0220"/>
    <w:rsid w:val="00AD1FFE"/>
    <w:rsid w:val="00AD43AB"/>
    <w:rsid w:val="00AD510A"/>
    <w:rsid w:val="00AD712E"/>
    <w:rsid w:val="00AD7C80"/>
    <w:rsid w:val="00AE06A0"/>
    <w:rsid w:val="00AE2E13"/>
    <w:rsid w:val="00AE2EDF"/>
    <w:rsid w:val="00AE349C"/>
    <w:rsid w:val="00AE4D01"/>
    <w:rsid w:val="00AE4D4D"/>
    <w:rsid w:val="00AF0B50"/>
    <w:rsid w:val="00AF13D4"/>
    <w:rsid w:val="00AF276A"/>
    <w:rsid w:val="00AF3616"/>
    <w:rsid w:val="00AF5EE3"/>
    <w:rsid w:val="00AF76E4"/>
    <w:rsid w:val="00AF7ADC"/>
    <w:rsid w:val="00B01328"/>
    <w:rsid w:val="00B06DF0"/>
    <w:rsid w:val="00B105D4"/>
    <w:rsid w:val="00B12C51"/>
    <w:rsid w:val="00B13CC5"/>
    <w:rsid w:val="00B15F57"/>
    <w:rsid w:val="00B164EE"/>
    <w:rsid w:val="00B17A2C"/>
    <w:rsid w:val="00B20606"/>
    <w:rsid w:val="00B22FF7"/>
    <w:rsid w:val="00B2308C"/>
    <w:rsid w:val="00B23C85"/>
    <w:rsid w:val="00B2430E"/>
    <w:rsid w:val="00B24AFB"/>
    <w:rsid w:val="00B24F4E"/>
    <w:rsid w:val="00B26B21"/>
    <w:rsid w:val="00B27834"/>
    <w:rsid w:val="00B27A97"/>
    <w:rsid w:val="00B459E6"/>
    <w:rsid w:val="00B468C7"/>
    <w:rsid w:val="00B51E73"/>
    <w:rsid w:val="00B613BD"/>
    <w:rsid w:val="00B61D21"/>
    <w:rsid w:val="00B6286E"/>
    <w:rsid w:val="00B63729"/>
    <w:rsid w:val="00B647C3"/>
    <w:rsid w:val="00B648CF"/>
    <w:rsid w:val="00B70922"/>
    <w:rsid w:val="00B719F1"/>
    <w:rsid w:val="00B72073"/>
    <w:rsid w:val="00B748D1"/>
    <w:rsid w:val="00B778D6"/>
    <w:rsid w:val="00B8030A"/>
    <w:rsid w:val="00B809EC"/>
    <w:rsid w:val="00B834B2"/>
    <w:rsid w:val="00B83B93"/>
    <w:rsid w:val="00B85692"/>
    <w:rsid w:val="00B85AF6"/>
    <w:rsid w:val="00B86239"/>
    <w:rsid w:val="00B8720A"/>
    <w:rsid w:val="00B9297D"/>
    <w:rsid w:val="00B9349E"/>
    <w:rsid w:val="00B9486A"/>
    <w:rsid w:val="00B95DE7"/>
    <w:rsid w:val="00B9605B"/>
    <w:rsid w:val="00B960DC"/>
    <w:rsid w:val="00B97910"/>
    <w:rsid w:val="00B97B99"/>
    <w:rsid w:val="00BA0E56"/>
    <w:rsid w:val="00BA5175"/>
    <w:rsid w:val="00BA5825"/>
    <w:rsid w:val="00BA659A"/>
    <w:rsid w:val="00BA72B1"/>
    <w:rsid w:val="00BB204C"/>
    <w:rsid w:val="00BC0C87"/>
    <w:rsid w:val="00BC2542"/>
    <w:rsid w:val="00BC4205"/>
    <w:rsid w:val="00BC463B"/>
    <w:rsid w:val="00BC646D"/>
    <w:rsid w:val="00BC691F"/>
    <w:rsid w:val="00BC726F"/>
    <w:rsid w:val="00BD1FB3"/>
    <w:rsid w:val="00BD2044"/>
    <w:rsid w:val="00BD234E"/>
    <w:rsid w:val="00BD2AD8"/>
    <w:rsid w:val="00BD3699"/>
    <w:rsid w:val="00BD46A1"/>
    <w:rsid w:val="00BE37F5"/>
    <w:rsid w:val="00BE43A5"/>
    <w:rsid w:val="00BE46C9"/>
    <w:rsid w:val="00BE4921"/>
    <w:rsid w:val="00BE731A"/>
    <w:rsid w:val="00BE7AFE"/>
    <w:rsid w:val="00BE7C25"/>
    <w:rsid w:val="00BF05D1"/>
    <w:rsid w:val="00BF0E9C"/>
    <w:rsid w:val="00BF2FDB"/>
    <w:rsid w:val="00BF3076"/>
    <w:rsid w:val="00BF336E"/>
    <w:rsid w:val="00BF4FBB"/>
    <w:rsid w:val="00BF5ED2"/>
    <w:rsid w:val="00BF68DB"/>
    <w:rsid w:val="00BF739B"/>
    <w:rsid w:val="00C029D0"/>
    <w:rsid w:val="00C02D5C"/>
    <w:rsid w:val="00C039A7"/>
    <w:rsid w:val="00C04934"/>
    <w:rsid w:val="00C04C91"/>
    <w:rsid w:val="00C12E24"/>
    <w:rsid w:val="00C15C19"/>
    <w:rsid w:val="00C15D59"/>
    <w:rsid w:val="00C15EA7"/>
    <w:rsid w:val="00C17801"/>
    <w:rsid w:val="00C22286"/>
    <w:rsid w:val="00C273DF"/>
    <w:rsid w:val="00C27D97"/>
    <w:rsid w:val="00C31048"/>
    <w:rsid w:val="00C34045"/>
    <w:rsid w:val="00C3559B"/>
    <w:rsid w:val="00C35CB9"/>
    <w:rsid w:val="00C40A47"/>
    <w:rsid w:val="00C41765"/>
    <w:rsid w:val="00C418B1"/>
    <w:rsid w:val="00C42D77"/>
    <w:rsid w:val="00C43645"/>
    <w:rsid w:val="00C467D5"/>
    <w:rsid w:val="00C51886"/>
    <w:rsid w:val="00C5347E"/>
    <w:rsid w:val="00C56804"/>
    <w:rsid w:val="00C574E1"/>
    <w:rsid w:val="00C6146F"/>
    <w:rsid w:val="00C62E20"/>
    <w:rsid w:val="00C63F65"/>
    <w:rsid w:val="00C64601"/>
    <w:rsid w:val="00C66AB8"/>
    <w:rsid w:val="00C66B5E"/>
    <w:rsid w:val="00C715CC"/>
    <w:rsid w:val="00C730A2"/>
    <w:rsid w:val="00C73756"/>
    <w:rsid w:val="00C76F54"/>
    <w:rsid w:val="00C826E3"/>
    <w:rsid w:val="00C84B31"/>
    <w:rsid w:val="00C85DAA"/>
    <w:rsid w:val="00C877CD"/>
    <w:rsid w:val="00C90BB8"/>
    <w:rsid w:val="00C90E93"/>
    <w:rsid w:val="00C91B12"/>
    <w:rsid w:val="00C91BBB"/>
    <w:rsid w:val="00C92668"/>
    <w:rsid w:val="00C93527"/>
    <w:rsid w:val="00C94D22"/>
    <w:rsid w:val="00C973F4"/>
    <w:rsid w:val="00CA3904"/>
    <w:rsid w:val="00CA5435"/>
    <w:rsid w:val="00CA5F00"/>
    <w:rsid w:val="00CB0BAA"/>
    <w:rsid w:val="00CB5D59"/>
    <w:rsid w:val="00CB67C7"/>
    <w:rsid w:val="00CC008D"/>
    <w:rsid w:val="00CC04F4"/>
    <w:rsid w:val="00CC057C"/>
    <w:rsid w:val="00CC0EA0"/>
    <w:rsid w:val="00CC1438"/>
    <w:rsid w:val="00CC1792"/>
    <w:rsid w:val="00CC19BF"/>
    <w:rsid w:val="00CC2C5B"/>
    <w:rsid w:val="00CC58B5"/>
    <w:rsid w:val="00CC5F29"/>
    <w:rsid w:val="00CC6F66"/>
    <w:rsid w:val="00CC7D51"/>
    <w:rsid w:val="00CD081B"/>
    <w:rsid w:val="00CD18FB"/>
    <w:rsid w:val="00CD2BFA"/>
    <w:rsid w:val="00CD3DC0"/>
    <w:rsid w:val="00CD7E7E"/>
    <w:rsid w:val="00CE3E16"/>
    <w:rsid w:val="00CE625C"/>
    <w:rsid w:val="00CE7467"/>
    <w:rsid w:val="00CF1741"/>
    <w:rsid w:val="00CF3FFF"/>
    <w:rsid w:val="00CF53DC"/>
    <w:rsid w:val="00CF5B0B"/>
    <w:rsid w:val="00CF6DC6"/>
    <w:rsid w:val="00CF7512"/>
    <w:rsid w:val="00D01441"/>
    <w:rsid w:val="00D02069"/>
    <w:rsid w:val="00D0315E"/>
    <w:rsid w:val="00D05493"/>
    <w:rsid w:val="00D204A9"/>
    <w:rsid w:val="00D20FE5"/>
    <w:rsid w:val="00D22F27"/>
    <w:rsid w:val="00D308FB"/>
    <w:rsid w:val="00D36601"/>
    <w:rsid w:val="00D36EC0"/>
    <w:rsid w:val="00D44474"/>
    <w:rsid w:val="00D44CBE"/>
    <w:rsid w:val="00D467CC"/>
    <w:rsid w:val="00D5085E"/>
    <w:rsid w:val="00D517EB"/>
    <w:rsid w:val="00D53C06"/>
    <w:rsid w:val="00D62822"/>
    <w:rsid w:val="00D62C89"/>
    <w:rsid w:val="00D62DAC"/>
    <w:rsid w:val="00D706FA"/>
    <w:rsid w:val="00D723A1"/>
    <w:rsid w:val="00D7516D"/>
    <w:rsid w:val="00D809E0"/>
    <w:rsid w:val="00D81B7C"/>
    <w:rsid w:val="00D83359"/>
    <w:rsid w:val="00D84BC7"/>
    <w:rsid w:val="00D84D74"/>
    <w:rsid w:val="00D90225"/>
    <w:rsid w:val="00D94EA9"/>
    <w:rsid w:val="00D95B80"/>
    <w:rsid w:val="00DA0872"/>
    <w:rsid w:val="00DA0F2F"/>
    <w:rsid w:val="00DA1194"/>
    <w:rsid w:val="00DB0305"/>
    <w:rsid w:val="00DB091D"/>
    <w:rsid w:val="00DB48F0"/>
    <w:rsid w:val="00DB760F"/>
    <w:rsid w:val="00DB78A4"/>
    <w:rsid w:val="00DC1EFD"/>
    <w:rsid w:val="00DC1F5E"/>
    <w:rsid w:val="00DC2F14"/>
    <w:rsid w:val="00DC3C2A"/>
    <w:rsid w:val="00DD06FF"/>
    <w:rsid w:val="00DD1562"/>
    <w:rsid w:val="00DD3D14"/>
    <w:rsid w:val="00DD3EAA"/>
    <w:rsid w:val="00DD458A"/>
    <w:rsid w:val="00DD52CF"/>
    <w:rsid w:val="00DD5F72"/>
    <w:rsid w:val="00DE32F3"/>
    <w:rsid w:val="00DE4684"/>
    <w:rsid w:val="00DE48D6"/>
    <w:rsid w:val="00DF151C"/>
    <w:rsid w:val="00DF28A1"/>
    <w:rsid w:val="00DF29F9"/>
    <w:rsid w:val="00DF5101"/>
    <w:rsid w:val="00DF7398"/>
    <w:rsid w:val="00E0546E"/>
    <w:rsid w:val="00E110EF"/>
    <w:rsid w:val="00E11848"/>
    <w:rsid w:val="00E11971"/>
    <w:rsid w:val="00E12819"/>
    <w:rsid w:val="00E1291F"/>
    <w:rsid w:val="00E12E43"/>
    <w:rsid w:val="00E14B5F"/>
    <w:rsid w:val="00E207A9"/>
    <w:rsid w:val="00E22A97"/>
    <w:rsid w:val="00E237B3"/>
    <w:rsid w:val="00E25F41"/>
    <w:rsid w:val="00E26BAF"/>
    <w:rsid w:val="00E276CD"/>
    <w:rsid w:val="00E3007E"/>
    <w:rsid w:val="00E30733"/>
    <w:rsid w:val="00E30AFE"/>
    <w:rsid w:val="00E31677"/>
    <w:rsid w:val="00E34B86"/>
    <w:rsid w:val="00E35420"/>
    <w:rsid w:val="00E36B4C"/>
    <w:rsid w:val="00E36D86"/>
    <w:rsid w:val="00E4031B"/>
    <w:rsid w:val="00E43728"/>
    <w:rsid w:val="00E45B5D"/>
    <w:rsid w:val="00E4644E"/>
    <w:rsid w:val="00E47055"/>
    <w:rsid w:val="00E5075F"/>
    <w:rsid w:val="00E50A8E"/>
    <w:rsid w:val="00E52143"/>
    <w:rsid w:val="00E52947"/>
    <w:rsid w:val="00E57D68"/>
    <w:rsid w:val="00E612AF"/>
    <w:rsid w:val="00E6507F"/>
    <w:rsid w:val="00E7223C"/>
    <w:rsid w:val="00E77D24"/>
    <w:rsid w:val="00E804FA"/>
    <w:rsid w:val="00E818CA"/>
    <w:rsid w:val="00E8250C"/>
    <w:rsid w:val="00E82F68"/>
    <w:rsid w:val="00E84645"/>
    <w:rsid w:val="00E8480C"/>
    <w:rsid w:val="00E86B65"/>
    <w:rsid w:val="00E90235"/>
    <w:rsid w:val="00E91D72"/>
    <w:rsid w:val="00E9775F"/>
    <w:rsid w:val="00EA03EC"/>
    <w:rsid w:val="00EA3279"/>
    <w:rsid w:val="00EA5EB1"/>
    <w:rsid w:val="00EA6783"/>
    <w:rsid w:val="00EA7E0B"/>
    <w:rsid w:val="00EB286A"/>
    <w:rsid w:val="00EB2DAA"/>
    <w:rsid w:val="00EB3623"/>
    <w:rsid w:val="00EB7FCE"/>
    <w:rsid w:val="00EC5AD8"/>
    <w:rsid w:val="00EC75AE"/>
    <w:rsid w:val="00EC77B5"/>
    <w:rsid w:val="00ED1D55"/>
    <w:rsid w:val="00ED5AD7"/>
    <w:rsid w:val="00EE3662"/>
    <w:rsid w:val="00EE4B10"/>
    <w:rsid w:val="00EE529C"/>
    <w:rsid w:val="00EE5B44"/>
    <w:rsid w:val="00EE778E"/>
    <w:rsid w:val="00EF0E20"/>
    <w:rsid w:val="00EF23CC"/>
    <w:rsid w:val="00EF303A"/>
    <w:rsid w:val="00EF4DB1"/>
    <w:rsid w:val="00EF575A"/>
    <w:rsid w:val="00EF6686"/>
    <w:rsid w:val="00F02C87"/>
    <w:rsid w:val="00F044C5"/>
    <w:rsid w:val="00F0480A"/>
    <w:rsid w:val="00F04902"/>
    <w:rsid w:val="00F06420"/>
    <w:rsid w:val="00F071E8"/>
    <w:rsid w:val="00F10527"/>
    <w:rsid w:val="00F11977"/>
    <w:rsid w:val="00F11BDE"/>
    <w:rsid w:val="00F12D86"/>
    <w:rsid w:val="00F13E79"/>
    <w:rsid w:val="00F16C78"/>
    <w:rsid w:val="00F17DF6"/>
    <w:rsid w:val="00F21F10"/>
    <w:rsid w:val="00F23A78"/>
    <w:rsid w:val="00F25A77"/>
    <w:rsid w:val="00F31474"/>
    <w:rsid w:val="00F3217C"/>
    <w:rsid w:val="00F33E78"/>
    <w:rsid w:val="00F3712C"/>
    <w:rsid w:val="00F375FF"/>
    <w:rsid w:val="00F37AAA"/>
    <w:rsid w:val="00F4049C"/>
    <w:rsid w:val="00F40F15"/>
    <w:rsid w:val="00F457CE"/>
    <w:rsid w:val="00F501DE"/>
    <w:rsid w:val="00F50AF7"/>
    <w:rsid w:val="00F52629"/>
    <w:rsid w:val="00F54BCE"/>
    <w:rsid w:val="00F5687F"/>
    <w:rsid w:val="00F607A3"/>
    <w:rsid w:val="00F63857"/>
    <w:rsid w:val="00F639C4"/>
    <w:rsid w:val="00F640E0"/>
    <w:rsid w:val="00F64742"/>
    <w:rsid w:val="00F67893"/>
    <w:rsid w:val="00F712C2"/>
    <w:rsid w:val="00F7387B"/>
    <w:rsid w:val="00F73A81"/>
    <w:rsid w:val="00F7642A"/>
    <w:rsid w:val="00F8449C"/>
    <w:rsid w:val="00F84500"/>
    <w:rsid w:val="00F90684"/>
    <w:rsid w:val="00F95B8C"/>
    <w:rsid w:val="00F96FE2"/>
    <w:rsid w:val="00F97C88"/>
    <w:rsid w:val="00FA0AC6"/>
    <w:rsid w:val="00FA0EE2"/>
    <w:rsid w:val="00FA1399"/>
    <w:rsid w:val="00FA34BB"/>
    <w:rsid w:val="00FA4A74"/>
    <w:rsid w:val="00FB172D"/>
    <w:rsid w:val="00FB3EB5"/>
    <w:rsid w:val="00FB45A1"/>
    <w:rsid w:val="00FB6A55"/>
    <w:rsid w:val="00FC5B0E"/>
    <w:rsid w:val="00FC6F43"/>
    <w:rsid w:val="00FD1279"/>
    <w:rsid w:val="00FD551E"/>
    <w:rsid w:val="00FD65ED"/>
    <w:rsid w:val="00FE1221"/>
    <w:rsid w:val="00FE643B"/>
    <w:rsid w:val="00FE7951"/>
    <w:rsid w:val="00FE7D88"/>
    <w:rsid w:val="00FF6C73"/>
    <w:rsid w:val="00FF773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410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B24F6"/>
    <w:pPr>
      <w:spacing w:before="120" w:after="120" w:line="276" w:lineRule="auto"/>
      <w:jc w:val="both"/>
    </w:pPr>
    <w:rPr>
      <w:rFonts w:ascii="Verdana" w:hAnsi="Verdana"/>
      <w:sz w:val="18"/>
      <w:szCs w:val="18"/>
    </w:rPr>
  </w:style>
  <w:style w:type="paragraph" w:styleId="Nadpis1">
    <w:name w:val="heading 1"/>
    <w:basedOn w:val="Normln"/>
    <w:next w:val="Normln"/>
    <w:link w:val="Nadpis1Char"/>
    <w:autoRedefine/>
    <w:uiPriority w:val="99"/>
    <w:qFormat/>
    <w:rsid w:val="00B459E6"/>
    <w:pPr>
      <w:pageBreakBefore/>
      <w:numPr>
        <w:numId w:val="3"/>
      </w:numPr>
      <w:autoSpaceDE w:val="0"/>
      <w:autoSpaceDN w:val="0"/>
      <w:adjustRightInd w:val="0"/>
      <w:ind w:left="431" w:right="6" w:hanging="431"/>
      <w:outlineLvl w:val="0"/>
    </w:pPr>
    <w:rPr>
      <w:rFonts w:cs="Arial"/>
      <w:b/>
      <w:bCs/>
      <w:caps/>
      <w:color w:val="FFFFFF" w:themeColor="background1"/>
      <w:sz w:val="22"/>
      <w:szCs w:val="32"/>
    </w:rPr>
  </w:style>
  <w:style w:type="paragraph" w:styleId="Nadpis2">
    <w:name w:val="heading 2"/>
    <w:basedOn w:val="Nadpis1"/>
    <w:next w:val="Normln"/>
    <w:link w:val="Nadpis2Char"/>
    <w:uiPriority w:val="99"/>
    <w:qFormat/>
    <w:rsid w:val="00B27834"/>
    <w:pPr>
      <w:keepLines/>
      <w:pageBreakBefore w:val="0"/>
      <w:numPr>
        <w:ilvl w:val="1"/>
      </w:numPr>
      <w:ind w:left="578" w:hanging="578"/>
      <w:jc w:val="left"/>
      <w:outlineLvl w:val="1"/>
    </w:pPr>
    <w:rPr>
      <w:caps w:val="0"/>
      <w:color w:val="006600"/>
      <w:sz w:val="20"/>
      <w:szCs w:val="18"/>
    </w:rPr>
  </w:style>
  <w:style w:type="paragraph" w:styleId="Nadpis3">
    <w:name w:val="heading 3"/>
    <w:basedOn w:val="Nadpis2"/>
    <w:next w:val="Normln"/>
    <w:link w:val="Nadpis3Char"/>
    <w:autoRedefine/>
    <w:uiPriority w:val="99"/>
    <w:qFormat/>
    <w:rsid w:val="007A3A74"/>
    <w:pPr>
      <w:keepLines w:val="0"/>
      <w:numPr>
        <w:ilvl w:val="2"/>
      </w:numPr>
      <w:outlineLvl w:val="2"/>
    </w:pPr>
    <w:rPr>
      <w:sz w:val="18"/>
    </w:rPr>
  </w:style>
  <w:style w:type="paragraph" w:styleId="Nadpis4">
    <w:name w:val="heading 4"/>
    <w:basedOn w:val="Normln"/>
    <w:next w:val="Normln"/>
    <w:link w:val="Nadpis4Char"/>
    <w:unhideWhenUsed/>
    <w:qFormat/>
    <w:rsid w:val="00C85DAA"/>
    <w:pPr>
      <w:keepNext/>
      <w:keepLines/>
      <w:numPr>
        <w:ilvl w:val="3"/>
        <w:numId w:val="3"/>
      </w:numPr>
      <w:spacing w:before="200"/>
      <w:outlineLvl w:val="3"/>
    </w:pPr>
    <w:rPr>
      <w:rFonts w:eastAsiaTheme="majorEastAsia" w:cstheme="majorBidi"/>
      <w:b/>
      <w:bCs/>
      <w:i/>
      <w:color w:val="006600"/>
      <w:sz w:val="16"/>
    </w:rPr>
  </w:style>
  <w:style w:type="paragraph" w:styleId="Nadpis5">
    <w:name w:val="heading 5"/>
    <w:basedOn w:val="Normln"/>
    <w:next w:val="Normln"/>
    <w:link w:val="Nadpis5Char"/>
    <w:unhideWhenUsed/>
    <w:qFormat/>
    <w:rsid w:val="00484F9C"/>
    <w:pPr>
      <w:keepNext/>
      <w:keepLines/>
      <w:numPr>
        <w:ilvl w:val="4"/>
        <w:numId w:val="3"/>
      </w:numPr>
      <w:spacing w:before="200"/>
      <w:outlineLvl w:val="4"/>
    </w:pPr>
    <w:rPr>
      <w:rFonts w:eastAsiaTheme="majorEastAsia" w:cstheme="majorBidi"/>
      <w:color w:val="006600"/>
    </w:rPr>
  </w:style>
  <w:style w:type="paragraph" w:styleId="Nadpis6">
    <w:name w:val="heading 6"/>
    <w:basedOn w:val="Normln"/>
    <w:next w:val="Normln"/>
    <w:link w:val="Nadpis6Char"/>
    <w:semiHidden/>
    <w:unhideWhenUsed/>
    <w:qFormat/>
    <w:rsid w:val="00A13051"/>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A13051"/>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A13051"/>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rsid w:val="00A13051"/>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040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azen">
    <w:name w:val="Normální  + Odsazení"/>
    <w:basedOn w:val="Normln"/>
    <w:rsid w:val="005435D2"/>
    <w:pPr>
      <w:numPr>
        <w:numId w:val="1"/>
      </w:numPr>
    </w:pPr>
    <w:rPr>
      <w:sz w:val="20"/>
    </w:rPr>
  </w:style>
  <w:style w:type="paragraph" w:styleId="Zpat">
    <w:name w:val="footer"/>
    <w:basedOn w:val="Normln"/>
    <w:link w:val="ZpatChar"/>
    <w:rsid w:val="00690677"/>
    <w:pPr>
      <w:tabs>
        <w:tab w:val="center" w:pos="4536"/>
        <w:tab w:val="right" w:pos="9072"/>
      </w:tabs>
    </w:pPr>
  </w:style>
  <w:style w:type="character" w:styleId="slostrnky">
    <w:name w:val="page number"/>
    <w:basedOn w:val="Standardnpsmoodstavce"/>
    <w:rsid w:val="00690677"/>
  </w:style>
  <w:style w:type="paragraph" w:styleId="Zhlav">
    <w:name w:val="header"/>
    <w:basedOn w:val="Normln"/>
    <w:link w:val="ZhlavChar"/>
    <w:rsid w:val="009A476F"/>
    <w:pPr>
      <w:tabs>
        <w:tab w:val="center" w:pos="4536"/>
        <w:tab w:val="right" w:pos="9072"/>
      </w:tabs>
    </w:pPr>
  </w:style>
  <w:style w:type="paragraph" w:styleId="Prosttext">
    <w:name w:val="Plain Text"/>
    <w:basedOn w:val="Normln"/>
    <w:link w:val="ProsttextChar"/>
    <w:uiPriority w:val="99"/>
    <w:rsid w:val="00844096"/>
    <w:rPr>
      <w:rFonts w:ascii="Courier New" w:hAnsi="Courier New" w:cs="Courier New"/>
      <w:sz w:val="20"/>
      <w:szCs w:val="20"/>
    </w:rPr>
  </w:style>
  <w:style w:type="table" w:styleId="Webovtabulka2">
    <w:name w:val="Table Web 2"/>
    <w:basedOn w:val="Normlntabulka"/>
    <w:rsid w:val="003A00F2"/>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652782"/>
    <w:pPr>
      <w:autoSpaceDE w:val="0"/>
      <w:autoSpaceDN w:val="0"/>
      <w:adjustRightInd w:val="0"/>
    </w:pPr>
    <w:rPr>
      <w:rFonts w:ascii="Arial" w:hAnsi="Arial" w:cs="Arial"/>
      <w:color w:val="000000"/>
      <w:sz w:val="24"/>
      <w:szCs w:val="24"/>
    </w:rPr>
  </w:style>
  <w:style w:type="character" w:customStyle="1" w:styleId="ProsttextChar">
    <w:name w:val="Prostý text Char"/>
    <w:basedOn w:val="Standardnpsmoodstavce"/>
    <w:link w:val="Prosttext"/>
    <w:uiPriority w:val="99"/>
    <w:rsid w:val="00652782"/>
    <w:rPr>
      <w:rFonts w:ascii="Courier New" w:hAnsi="Courier New" w:cs="Courier New"/>
    </w:rPr>
  </w:style>
  <w:style w:type="paragraph" w:styleId="Odstavecseseznamem">
    <w:name w:val="List Paragraph"/>
    <w:basedOn w:val="Normln"/>
    <w:link w:val="OdstavecseseznamemChar"/>
    <w:uiPriority w:val="34"/>
    <w:qFormat/>
    <w:rsid w:val="009418F4"/>
    <w:pPr>
      <w:ind w:left="720"/>
      <w:contextualSpacing/>
    </w:pPr>
  </w:style>
  <w:style w:type="character" w:customStyle="1" w:styleId="Nadpis1Char">
    <w:name w:val="Nadpis 1 Char"/>
    <w:basedOn w:val="Standardnpsmoodstavce"/>
    <w:link w:val="Nadpis1"/>
    <w:uiPriority w:val="99"/>
    <w:rsid w:val="00B459E6"/>
    <w:rPr>
      <w:rFonts w:ascii="Verdana" w:hAnsi="Verdana" w:cs="Arial"/>
      <w:b/>
      <w:bCs/>
      <w:caps/>
      <w:color w:val="FFFFFF" w:themeColor="background1"/>
      <w:sz w:val="22"/>
      <w:szCs w:val="32"/>
    </w:rPr>
  </w:style>
  <w:style w:type="character" w:customStyle="1" w:styleId="Nadpis2Char">
    <w:name w:val="Nadpis 2 Char"/>
    <w:basedOn w:val="Standardnpsmoodstavce"/>
    <w:link w:val="Nadpis2"/>
    <w:uiPriority w:val="99"/>
    <w:rsid w:val="00B27834"/>
    <w:rPr>
      <w:rFonts w:ascii="Verdana" w:hAnsi="Verdana" w:cs="Arial"/>
      <w:b/>
      <w:bCs/>
      <w:color w:val="006600"/>
      <w:szCs w:val="18"/>
    </w:rPr>
  </w:style>
  <w:style w:type="character" w:customStyle="1" w:styleId="Nadpis3Char">
    <w:name w:val="Nadpis 3 Char"/>
    <w:basedOn w:val="Standardnpsmoodstavce"/>
    <w:link w:val="Nadpis3"/>
    <w:uiPriority w:val="99"/>
    <w:rsid w:val="007A3A74"/>
    <w:rPr>
      <w:rFonts w:ascii="Verdana" w:hAnsi="Verdana" w:cs="Arial"/>
      <w:b/>
      <w:bCs/>
      <w:color w:val="006600"/>
      <w:sz w:val="18"/>
      <w:szCs w:val="18"/>
    </w:rPr>
  </w:style>
  <w:style w:type="paragraph" w:styleId="Nzev">
    <w:name w:val="Title"/>
    <w:basedOn w:val="Nadpis3"/>
    <w:next w:val="Normln"/>
    <w:link w:val="NzevChar"/>
    <w:uiPriority w:val="99"/>
    <w:qFormat/>
    <w:rsid w:val="009418F4"/>
    <w:pPr>
      <w:numPr>
        <w:ilvl w:val="0"/>
        <w:numId w:val="0"/>
      </w:numPr>
      <w:ind w:left="864" w:hanging="864"/>
    </w:pPr>
    <w:rPr>
      <w:sz w:val="24"/>
      <w:u w:val="single"/>
    </w:rPr>
  </w:style>
  <w:style w:type="character" w:customStyle="1" w:styleId="NzevChar">
    <w:name w:val="Název Char"/>
    <w:basedOn w:val="Standardnpsmoodstavce"/>
    <w:link w:val="Nzev"/>
    <w:uiPriority w:val="99"/>
    <w:rsid w:val="009418F4"/>
    <w:rPr>
      <w:rFonts w:ascii="Verdana" w:hAnsi="Verdana" w:cs="Arial"/>
      <w:b/>
      <w:bCs/>
      <w:sz w:val="24"/>
      <w:szCs w:val="18"/>
      <w:u w:val="single"/>
    </w:rPr>
  </w:style>
  <w:style w:type="character" w:styleId="Hypertextovodkaz">
    <w:name w:val="Hyperlink"/>
    <w:uiPriority w:val="99"/>
    <w:rsid w:val="004D5AB0"/>
    <w:rPr>
      <w:color w:val="0000FF"/>
      <w:u w:val="single"/>
    </w:rPr>
  </w:style>
  <w:style w:type="paragraph" w:customStyle="1" w:styleId="Textodstavce">
    <w:name w:val="Text odstavce"/>
    <w:basedOn w:val="Normln"/>
    <w:rsid w:val="00E110EF"/>
    <w:pPr>
      <w:numPr>
        <w:ilvl w:val="6"/>
        <w:numId w:val="2"/>
      </w:numPr>
      <w:tabs>
        <w:tab w:val="left" w:pos="851"/>
      </w:tabs>
      <w:outlineLvl w:val="6"/>
    </w:pPr>
    <w:rPr>
      <w:szCs w:val="20"/>
    </w:rPr>
  </w:style>
  <w:style w:type="paragraph" w:customStyle="1" w:styleId="Textbodu">
    <w:name w:val="Text bodu"/>
    <w:basedOn w:val="Normln"/>
    <w:rsid w:val="00E110EF"/>
    <w:pPr>
      <w:numPr>
        <w:ilvl w:val="8"/>
        <w:numId w:val="2"/>
      </w:numPr>
      <w:outlineLvl w:val="8"/>
    </w:pPr>
    <w:rPr>
      <w:szCs w:val="20"/>
    </w:rPr>
  </w:style>
  <w:style w:type="paragraph" w:customStyle="1" w:styleId="Textpsmene">
    <w:name w:val="Text písmene"/>
    <w:basedOn w:val="Normln"/>
    <w:rsid w:val="00E110EF"/>
    <w:pPr>
      <w:numPr>
        <w:ilvl w:val="7"/>
        <w:numId w:val="2"/>
      </w:numPr>
      <w:outlineLvl w:val="7"/>
    </w:pPr>
    <w:rPr>
      <w:szCs w:val="20"/>
    </w:rPr>
  </w:style>
  <w:style w:type="paragraph" w:styleId="Zkladntextodsazen2">
    <w:name w:val="Body Text Indent 2"/>
    <w:basedOn w:val="Normln"/>
    <w:link w:val="Zkladntextodsazen2Char"/>
    <w:rsid w:val="00E110EF"/>
    <w:pPr>
      <w:ind w:left="540"/>
    </w:pPr>
    <w:rPr>
      <w:rFonts w:ascii="Garamond" w:hAnsi="Garamond"/>
      <w:szCs w:val="20"/>
    </w:rPr>
  </w:style>
  <w:style w:type="character" w:customStyle="1" w:styleId="Zkladntextodsazen2Char">
    <w:name w:val="Základní text odsazený 2 Char"/>
    <w:basedOn w:val="Standardnpsmoodstavce"/>
    <w:link w:val="Zkladntextodsazen2"/>
    <w:rsid w:val="00E110EF"/>
    <w:rPr>
      <w:rFonts w:ascii="Garamond" w:hAnsi="Garamond"/>
      <w:sz w:val="24"/>
    </w:rPr>
  </w:style>
  <w:style w:type="paragraph" w:styleId="Textkomente">
    <w:name w:val="annotation text"/>
    <w:basedOn w:val="Normln"/>
    <w:link w:val="TextkomenteChar"/>
    <w:uiPriority w:val="99"/>
    <w:rsid w:val="0012102A"/>
    <w:rPr>
      <w:sz w:val="20"/>
      <w:szCs w:val="20"/>
    </w:rPr>
  </w:style>
  <w:style w:type="character" w:customStyle="1" w:styleId="TextkomenteChar">
    <w:name w:val="Text komentáře Char"/>
    <w:basedOn w:val="Standardnpsmoodstavce"/>
    <w:link w:val="Textkomente"/>
    <w:uiPriority w:val="99"/>
    <w:rsid w:val="0012102A"/>
  </w:style>
  <w:style w:type="paragraph" w:styleId="Nadpisobsahu">
    <w:name w:val="TOC Heading"/>
    <w:basedOn w:val="Nadpis1"/>
    <w:next w:val="Normln"/>
    <w:uiPriority w:val="39"/>
    <w:semiHidden/>
    <w:unhideWhenUsed/>
    <w:qFormat/>
    <w:rsid w:val="00461284"/>
    <w:pPr>
      <w:keepLines/>
      <w:numPr>
        <w:numId w:val="0"/>
      </w:numPr>
      <w:autoSpaceDE/>
      <w:autoSpaceDN/>
      <w:adjustRightInd/>
      <w:spacing w:before="480"/>
      <w:ind w:right="0"/>
      <w:jc w:val="left"/>
      <w:outlineLvl w:val="9"/>
    </w:pPr>
    <w:rPr>
      <w:rFonts w:asciiTheme="majorHAnsi" w:eastAsiaTheme="majorEastAsia" w:hAnsiTheme="majorHAnsi" w:cstheme="majorBidi"/>
      <w:color w:val="365F91" w:themeColor="accent1" w:themeShade="BF"/>
      <w:sz w:val="28"/>
      <w:szCs w:val="28"/>
      <w:lang w:eastAsia="en-US"/>
    </w:rPr>
  </w:style>
  <w:style w:type="paragraph" w:styleId="Obsah2">
    <w:name w:val="toc 2"/>
    <w:basedOn w:val="Normln"/>
    <w:next w:val="Normln"/>
    <w:autoRedefine/>
    <w:uiPriority w:val="39"/>
    <w:rsid w:val="00F50AF7"/>
    <w:pPr>
      <w:spacing w:after="100"/>
      <w:ind w:left="240"/>
    </w:pPr>
    <w:rPr>
      <w:b/>
    </w:rPr>
  </w:style>
  <w:style w:type="paragraph" w:styleId="Textbubliny">
    <w:name w:val="Balloon Text"/>
    <w:basedOn w:val="Normln"/>
    <w:link w:val="TextbublinyChar"/>
    <w:rsid w:val="00461284"/>
    <w:rPr>
      <w:rFonts w:ascii="Tahoma" w:hAnsi="Tahoma" w:cs="Tahoma"/>
      <w:sz w:val="16"/>
      <w:szCs w:val="16"/>
    </w:rPr>
  </w:style>
  <w:style w:type="character" w:customStyle="1" w:styleId="TextbublinyChar">
    <w:name w:val="Text bubliny Char"/>
    <w:basedOn w:val="Standardnpsmoodstavce"/>
    <w:link w:val="Textbubliny"/>
    <w:rsid w:val="00461284"/>
    <w:rPr>
      <w:rFonts w:ascii="Tahoma" w:hAnsi="Tahoma" w:cs="Tahoma"/>
      <w:sz w:val="16"/>
      <w:szCs w:val="16"/>
    </w:rPr>
  </w:style>
  <w:style w:type="paragraph" w:styleId="Obsah1">
    <w:name w:val="toc 1"/>
    <w:basedOn w:val="Normln"/>
    <w:next w:val="Normln"/>
    <w:autoRedefine/>
    <w:uiPriority w:val="39"/>
    <w:rsid w:val="00F50AF7"/>
    <w:pPr>
      <w:spacing w:after="100"/>
    </w:pPr>
    <w:rPr>
      <w:b/>
      <w:caps/>
    </w:rPr>
  </w:style>
  <w:style w:type="character" w:customStyle="1" w:styleId="Nadpis4Char">
    <w:name w:val="Nadpis 4 Char"/>
    <w:basedOn w:val="Standardnpsmoodstavce"/>
    <w:link w:val="Nadpis4"/>
    <w:rsid w:val="00C85DAA"/>
    <w:rPr>
      <w:rFonts w:ascii="Verdana" w:eastAsiaTheme="majorEastAsia" w:hAnsi="Verdana" w:cstheme="majorBidi"/>
      <w:b/>
      <w:bCs/>
      <w:i/>
      <w:color w:val="006600"/>
      <w:sz w:val="16"/>
      <w:szCs w:val="18"/>
    </w:rPr>
  </w:style>
  <w:style w:type="character" w:customStyle="1" w:styleId="Nadpis5Char">
    <w:name w:val="Nadpis 5 Char"/>
    <w:basedOn w:val="Standardnpsmoodstavce"/>
    <w:link w:val="Nadpis5"/>
    <w:rsid w:val="00484F9C"/>
    <w:rPr>
      <w:rFonts w:ascii="Verdana" w:eastAsiaTheme="majorEastAsia" w:hAnsi="Verdana" w:cstheme="majorBidi"/>
      <w:color w:val="006600"/>
      <w:sz w:val="18"/>
      <w:szCs w:val="18"/>
    </w:rPr>
  </w:style>
  <w:style w:type="character" w:customStyle="1" w:styleId="Nadpis6Char">
    <w:name w:val="Nadpis 6 Char"/>
    <w:basedOn w:val="Standardnpsmoodstavce"/>
    <w:link w:val="Nadpis6"/>
    <w:semiHidden/>
    <w:rsid w:val="00A13051"/>
    <w:rPr>
      <w:rFonts w:asciiTheme="majorHAnsi" w:eastAsiaTheme="majorEastAsia" w:hAnsiTheme="majorHAnsi" w:cstheme="majorBidi"/>
      <w:i/>
      <w:iCs/>
      <w:color w:val="243F60" w:themeColor="accent1" w:themeShade="7F"/>
      <w:sz w:val="18"/>
      <w:szCs w:val="18"/>
    </w:rPr>
  </w:style>
  <w:style w:type="character" w:customStyle="1" w:styleId="Nadpis7Char">
    <w:name w:val="Nadpis 7 Char"/>
    <w:basedOn w:val="Standardnpsmoodstavce"/>
    <w:link w:val="Nadpis7"/>
    <w:semiHidden/>
    <w:rsid w:val="00A13051"/>
    <w:rPr>
      <w:rFonts w:asciiTheme="majorHAnsi" w:eastAsiaTheme="majorEastAsia" w:hAnsiTheme="majorHAnsi" w:cstheme="majorBidi"/>
      <w:i/>
      <w:iCs/>
      <w:color w:val="404040" w:themeColor="text1" w:themeTint="BF"/>
      <w:sz w:val="18"/>
      <w:szCs w:val="18"/>
    </w:rPr>
  </w:style>
  <w:style w:type="character" w:customStyle="1" w:styleId="Nadpis8Char">
    <w:name w:val="Nadpis 8 Char"/>
    <w:basedOn w:val="Standardnpsmoodstavce"/>
    <w:link w:val="Nadpis8"/>
    <w:semiHidden/>
    <w:rsid w:val="00A13051"/>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semiHidden/>
    <w:rsid w:val="00A13051"/>
    <w:rPr>
      <w:rFonts w:asciiTheme="majorHAnsi" w:eastAsiaTheme="majorEastAsia" w:hAnsiTheme="majorHAnsi" w:cstheme="majorBidi"/>
      <w:i/>
      <w:iCs/>
      <w:color w:val="404040" w:themeColor="text1" w:themeTint="BF"/>
    </w:rPr>
  </w:style>
  <w:style w:type="character" w:styleId="Odkaznakoment">
    <w:name w:val="annotation reference"/>
    <w:basedOn w:val="Standardnpsmoodstavce"/>
    <w:rsid w:val="000C2F9C"/>
    <w:rPr>
      <w:sz w:val="16"/>
      <w:szCs w:val="16"/>
    </w:rPr>
  </w:style>
  <w:style w:type="paragraph" w:styleId="Pedmtkomente">
    <w:name w:val="annotation subject"/>
    <w:basedOn w:val="Textkomente"/>
    <w:next w:val="Textkomente"/>
    <w:link w:val="PedmtkomenteChar"/>
    <w:rsid w:val="000C2F9C"/>
    <w:rPr>
      <w:b/>
      <w:bCs/>
    </w:rPr>
  </w:style>
  <w:style w:type="character" w:customStyle="1" w:styleId="PedmtkomenteChar">
    <w:name w:val="Předmět komentáře Char"/>
    <w:basedOn w:val="TextkomenteChar"/>
    <w:link w:val="Pedmtkomente"/>
    <w:rsid w:val="000C2F9C"/>
    <w:rPr>
      <w:b/>
      <w:bCs/>
    </w:rPr>
  </w:style>
  <w:style w:type="character" w:customStyle="1" w:styleId="OdstavecseseznamemChar">
    <w:name w:val="Odstavec se seznamem Char"/>
    <w:basedOn w:val="Standardnpsmoodstavce"/>
    <w:link w:val="Odstavecseseznamem"/>
    <w:uiPriority w:val="34"/>
    <w:locked/>
    <w:rsid w:val="005D4B6D"/>
    <w:rPr>
      <w:sz w:val="24"/>
      <w:szCs w:val="24"/>
    </w:rPr>
  </w:style>
  <w:style w:type="paragraph" w:styleId="Textpoznpodarou">
    <w:name w:val="footnote text"/>
    <w:basedOn w:val="Normln"/>
    <w:link w:val="TextpoznpodarouChar"/>
    <w:unhideWhenUsed/>
    <w:rsid w:val="005D4B6D"/>
    <w:pPr>
      <w:ind w:firstLine="567"/>
    </w:pPr>
    <w:rPr>
      <w:rFonts w:asciiTheme="minorHAnsi" w:eastAsiaTheme="minorHAnsi" w:hAnsiTheme="minorHAnsi" w:cstheme="minorBidi"/>
      <w:sz w:val="16"/>
      <w:szCs w:val="20"/>
      <w:lang w:eastAsia="en-US"/>
    </w:rPr>
  </w:style>
  <w:style w:type="character" w:customStyle="1" w:styleId="TextpoznpodarouChar">
    <w:name w:val="Text pozn. pod čarou Char"/>
    <w:basedOn w:val="Standardnpsmoodstavce"/>
    <w:link w:val="Textpoznpodarou"/>
    <w:rsid w:val="005D4B6D"/>
    <w:rPr>
      <w:rFonts w:asciiTheme="minorHAnsi" w:eastAsiaTheme="minorHAnsi" w:hAnsiTheme="minorHAnsi" w:cstheme="minorBidi"/>
      <w:sz w:val="16"/>
      <w:lang w:eastAsia="en-US"/>
    </w:rPr>
  </w:style>
  <w:style w:type="character" w:styleId="Znakapoznpodarou">
    <w:name w:val="footnote reference"/>
    <w:basedOn w:val="Standardnpsmoodstavce"/>
    <w:uiPriority w:val="99"/>
    <w:unhideWhenUsed/>
    <w:rsid w:val="005D4B6D"/>
    <w:rPr>
      <w:vertAlign w:val="superscript"/>
    </w:rPr>
  </w:style>
  <w:style w:type="character" w:customStyle="1" w:styleId="ZhlavChar">
    <w:name w:val="Záhlaví Char"/>
    <w:basedOn w:val="Standardnpsmoodstavce"/>
    <w:link w:val="Zhlav"/>
    <w:rsid w:val="00B459E6"/>
    <w:rPr>
      <w:rFonts w:ascii="Verdana" w:hAnsi="Verdana"/>
      <w:sz w:val="18"/>
      <w:szCs w:val="18"/>
    </w:rPr>
  </w:style>
  <w:style w:type="character" w:customStyle="1" w:styleId="ZpatChar">
    <w:name w:val="Zápatí Char"/>
    <w:basedOn w:val="Standardnpsmoodstavce"/>
    <w:link w:val="Zpat"/>
    <w:rsid w:val="00B459E6"/>
    <w:rPr>
      <w:rFonts w:ascii="Verdana" w:hAnsi="Verdana"/>
      <w:sz w:val="18"/>
      <w:szCs w:val="18"/>
    </w:rPr>
  </w:style>
  <w:style w:type="paragraph" w:styleId="Obsah3">
    <w:name w:val="toc 3"/>
    <w:basedOn w:val="Normln"/>
    <w:next w:val="Normln"/>
    <w:autoRedefine/>
    <w:uiPriority w:val="39"/>
    <w:rsid w:val="00834ED2"/>
    <w:pPr>
      <w:spacing w:after="100"/>
      <w:ind w:left="360"/>
    </w:pPr>
  </w:style>
  <w:style w:type="paragraph" w:styleId="Obsah4">
    <w:name w:val="toc 4"/>
    <w:basedOn w:val="Normln"/>
    <w:next w:val="Normln"/>
    <w:autoRedefine/>
    <w:uiPriority w:val="39"/>
    <w:rsid w:val="007C1BCE"/>
    <w:pPr>
      <w:ind w:left="540"/>
    </w:pPr>
  </w:style>
  <w:style w:type="paragraph" w:styleId="Obsah5">
    <w:name w:val="toc 5"/>
    <w:basedOn w:val="Normln"/>
    <w:next w:val="Normln"/>
    <w:autoRedefine/>
    <w:rsid w:val="007C1BCE"/>
    <w:pPr>
      <w:ind w:left="720"/>
    </w:pPr>
  </w:style>
  <w:style w:type="paragraph" w:styleId="Obsah6">
    <w:name w:val="toc 6"/>
    <w:basedOn w:val="Normln"/>
    <w:next w:val="Normln"/>
    <w:autoRedefine/>
    <w:rsid w:val="007C1BCE"/>
    <w:pPr>
      <w:ind w:left="900"/>
    </w:pPr>
  </w:style>
  <w:style w:type="paragraph" w:styleId="Obsah7">
    <w:name w:val="toc 7"/>
    <w:basedOn w:val="Normln"/>
    <w:next w:val="Normln"/>
    <w:autoRedefine/>
    <w:rsid w:val="007C1BCE"/>
    <w:pPr>
      <w:ind w:left="1080"/>
    </w:pPr>
  </w:style>
  <w:style w:type="paragraph" w:styleId="Obsah8">
    <w:name w:val="toc 8"/>
    <w:basedOn w:val="Normln"/>
    <w:next w:val="Normln"/>
    <w:autoRedefine/>
    <w:rsid w:val="007C1BCE"/>
    <w:pPr>
      <w:ind w:left="1260"/>
    </w:pPr>
  </w:style>
  <w:style w:type="paragraph" w:styleId="Obsah9">
    <w:name w:val="toc 9"/>
    <w:basedOn w:val="Normln"/>
    <w:next w:val="Normln"/>
    <w:autoRedefine/>
    <w:rsid w:val="007C1BCE"/>
    <w:pPr>
      <w:ind w:left="1440"/>
    </w:pPr>
  </w:style>
  <w:style w:type="paragraph" w:customStyle="1" w:styleId="Cislovani1">
    <w:name w:val="Cislovani_1"/>
    <w:basedOn w:val="Odstavecseseznamem"/>
    <w:next w:val="Normln"/>
    <w:qFormat/>
    <w:rsid w:val="00A833B3"/>
    <w:pPr>
      <w:keepLines/>
      <w:widowControl w:val="0"/>
      <w:numPr>
        <w:numId w:val="6"/>
      </w:numPr>
      <w:ind w:left="425" w:hanging="357"/>
      <w:contextualSpacing w:val="0"/>
    </w:pPr>
    <w:rPr>
      <w:rFonts w:cs="Arial"/>
    </w:rPr>
  </w:style>
  <w:style w:type="paragraph" w:customStyle="1" w:styleId="Odrazka1">
    <w:name w:val="Odrazka_1"/>
    <w:basedOn w:val="Odstavecseseznamem"/>
    <w:qFormat/>
    <w:rsid w:val="00230C6C"/>
    <w:pPr>
      <w:numPr>
        <w:numId w:val="5"/>
      </w:numPr>
      <w:contextualSpacing w:val="0"/>
    </w:pPr>
  </w:style>
  <w:style w:type="paragraph" w:customStyle="1" w:styleId="Odrazka2">
    <w:name w:val="Odrazka_2"/>
    <w:basedOn w:val="Odrazka1"/>
    <w:qFormat/>
    <w:rsid w:val="00A833B3"/>
    <w:pPr>
      <w:numPr>
        <w:ilvl w:val="1"/>
      </w:numPr>
    </w:pPr>
  </w:style>
  <w:style w:type="paragraph" w:styleId="Zkladntext">
    <w:name w:val="Body Text"/>
    <w:basedOn w:val="Normln"/>
    <w:link w:val="ZkladntextChar"/>
    <w:semiHidden/>
    <w:unhideWhenUsed/>
    <w:rsid w:val="00FA1399"/>
  </w:style>
  <w:style w:type="character" w:customStyle="1" w:styleId="ZkladntextChar">
    <w:name w:val="Základní text Char"/>
    <w:basedOn w:val="Standardnpsmoodstavce"/>
    <w:link w:val="Zkladntext"/>
    <w:semiHidden/>
    <w:rsid w:val="00FA1399"/>
    <w:rPr>
      <w:rFonts w:ascii="Verdana" w:hAnsi="Verdana"/>
      <w:sz w:val="18"/>
      <w:szCs w:val="18"/>
    </w:rPr>
  </w:style>
  <w:style w:type="paragraph" w:styleId="Revize">
    <w:name w:val="Revision"/>
    <w:hidden/>
    <w:uiPriority w:val="99"/>
    <w:semiHidden/>
    <w:rsid w:val="00646572"/>
    <w:rPr>
      <w:rFonts w:ascii="Verdana"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4003">
      <w:bodyDiv w:val="1"/>
      <w:marLeft w:val="0"/>
      <w:marRight w:val="0"/>
      <w:marTop w:val="0"/>
      <w:marBottom w:val="0"/>
      <w:divBdr>
        <w:top w:val="none" w:sz="0" w:space="0" w:color="auto"/>
        <w:left w:val="none" w:sz="0" w:space="0" w:color="auto"/>
        <w:bottom w:val="none" w:sz="0" w:space="0" w:color="auto"/>
        <w:right w:val="none" w:sz="0" w:space="0" w:color="auto"/>
      </w:divBdr>
    </w:div>
    <w:div w:id="45419902">
      <w:bodyDiv w:val="1"/>
      <w:marLeft w:val="0"/>
      <w:marRight w:val="0"/>
      <w:marTop w:val="0"/>
      <w:marBottom w:val="0"/>
      <w:divBdr>
        <w:top w:val="none" w:sz="0" w:space="0" w:color="auto"/>
        <w:left w:val="none" w:sz="0" w:space="0" w:color="auto"/>
        <w:bottom w:val="none" w:sz="0" w:space="0" w:color="auto"/>
        <w:right w:val="none" w:sz="0" w:space="0" w:color="auto"/>
      </w:divBdr>
    </w:div>
    <w:div w:id="77410809">
      <w:bodyDiv w:val="1"/>
      <w:marLeft w:val="0"/>
      <w:marRight w:val="0"/>
      <w:marTop w:val="0"/>
      <w:marBottom w:val="0"/>
      <w:divBdr>
        <w:top w:val="none" w:sz="0" w:space="0" w:color="auto"/>
        <w:left w:val="none" w:sz="0" w:space="0" w:color="auto"/>
        <w:bottom w:val="none" w:sz="0" w:space="0" w:color="auto"/>
        <w:right w:val="none" w:sz="0" w:space="0" w:color="auto"/>
      </w:divBdr>
    </w:div>
    <w:div w:id="154998754">
      <w:bodyDiv w:val="1"/>
      <w:marLeft w:val="0"/>
      <w:marRight w:val="0"/>
      <w:marTop w:val="0"/>
      <w:marBottom w:val="0"/>
      <w:divBdr>
        <w:top w:val="none" w:sz="0" w:space="0" w:color="auto"/>
        <w:left w:val="none" w:sz="0" w:space="0" w:color="auto"/>
        <w:bottom w:val="none" w:sz="0" w:space="0" w:color="auto"/>
        <w:right w:val="none" w:sz="0" w:space="0" w:color="auto"/>
      </w:divBdr>
    </w:div>
    <w:div w:id="189685398">
      <w:bodyDiv w:val="1"/>
      <w:marLeft w:val="0"/>
      <w:marRight w:val="0"/>
      <w:marTop w:val="0"/>
      <w:marBottom w:val="0"/>
      <w:divBdr>
        <w:top w:val="none" w:sz="0" w:space="0" w:color="auto"/>
        <w:left w:val="none" w:sz="0" w:space="0" w:color="auto"/>
        <w:bottom w:val="none" w:sz="0" w:space="0" w:color="auto"/>
        <w:right w:val="none" w:sz="0" w:space="0" w:color="auto"/>
      </w:divBdr>
    </w:div>
    <w:div w:id="202837800">
      <w:bodyDiv w:val="1"/>
      <w:marLeft w:val="0"/>
      <w:marRight w:val="0"/>
      <w:marTop w:val="0"/>
      <w:marBottom w:val="0"/>
      <w:divBdr>
        <w:top w:val="none" w:sz="0" w:space="0" w:color="auto"/>
        <w:left w:val="none" w:sz="0" w:space="0" w:color="auto"/>
        <w:bottom w:val="none" w:sz="0" w:space="0" w:color="auto"/>
        <w:right w:val="none" w:sz="0" w:space="0" w:color="auto"/>
      </w:divBdr>
      <w:divsChild>
        <w:div w:id="1011182716">
          <w:marLeft w:val="0"/>
          <w:marRight w:val="0"/>
          <w:marTop w:val="0"/>
          <w:marBottom w:val="0"/>
          <w:divBdr>
            <w:top w:val="none" w:sz="0" w:space="0" w:color="auto"/>
            <w:left w:val="none" w:sz="0" w:space="0" w:color="auto"/>
            <w:bottom w:val="none" w:sz="0" w:space="0" w:color="auto"/>
            <w:right w:val="none" w:sz="0" w:space="0" w:color="auto"/>
          </w:divBdr>
        </w:div>
      </w:divsChild>
    </w:div>
    <w:div w:id="203712935">
      <w:bodyDiv w:val="1"/>
      <w:marLeft w:val="0"/>
      <w:marRight w:val="0"/>
      <w:marTop w:val="0"/>
      <w:marBottom w:val="0"/>
      <w:divBdr>
        <w:top w:val="none" w:sz="0" w:space="0" w:color="auto"/>
        <w:left w:val="none" w:sz="0" w:space="0" w:color="auto"/>
        <w:bottom w:val="none" w:sz="0" w:space="0" w:color="auto"/>
        <w:right w:val="none" w:sz="0" w:space="0" w:color="auto"/>
      </w:divBdr>
    </w:div>
    <w:div w:id="213545614">
      <w:bodyDiv w:val="1"/>
      <w:marLeft w:val="0"/>
      <w:marRight w:val="0"/>
      <w:marTop w:val="0"/>
      <w:marBottom w:val="0"/>
      <w:divBdr>
        <w:top w:val="none" w:sz="0" w:space="0" w:color="auto"/>
        <w:left w:val="none" w:sz="0" w:space="0" w:color="auto"/>
        <w:bottom w:val="none" w:sz="0" w:space="0" w:color="auto"/>
        <w:right w:val="none" w:sz="0" w:space="0" w:color="auto"/>
      </w:divBdr>
    </w:div>
    <w:div w:id="215749844">
      <w:bodyDiv w:val="1"/>
      <w:marLeft w:val="0"/>
      <w:marRight w:val="0"/>
      <w:marTop w:val="0"/>
      <w:marBottom w:val="0"/>
      <w:divBdr>
        <w:top w:val="none" w:sz="0" w:space="0" w:color="auto"/>
        <w:left w:val="none" w:sz="0" w:space="0" w:color="auto"/>
        <w:bottom w:val="none" w:sz="0" w:space="0" w:color="auto"/>
        <w:right w:val="none" w:sz="0" w:space="0" w:color="auto"/>
      </w:divBdr>
    </w:div>
    <w:div w:id="277952497">
      <w:bodyDiv w:val="1"/>
      <w:marLeft w:val="0"/>
      <w:marRight w:val="0"/>
      <w:marTop w:val="0"/>
      <w:marBottom w:val="0"/>
      <w:divBdr>
        <w:top w:val="none" w:sz="0" w:space="0" w:color="auto"/>
        <w:left w:val="none" w:sz="0" w:space="0" w:color="auto"/>
        <w:bottom w:val="none" w:sz="0" w:space="0" w:color="auto"/>
        <w:right w:val="none" w:sz="0" w:space="0" w:color="auto"/>
      </w:divBdr>
    </w:div>
    <w:div w:id="278531877">
      <w:bodyDiv w:val="1"/>
      <w:marLeft w:val="0"/>
      <w:marRight w:val="0"/>
      <w:marTop w:val="0"/>
      <w:marBottom w:val="0"/>
      <w:divBdr>
        <w:top w:val="none" w:sz="0" w:space="0" w:color="auto"/>
        <w:left w:val="none" w:sz="0" w:space="0" w:color="auto"/>
        <w:bottom w:val="none" w:sz="0" w:space="0" w:color="auto"/>
        <w:right w:val="none" w:sz="0" w:space="0" w:color="auto"/>
      </w:divBdr>
    </w:div>
    <w:div w:id="304942187">
      <w:bodyDiv w:val="1"/>
      <w:marLeft w:val="0"/>
      <w:marRight w:val="0"/>
      <w:marTop w:val="0"/>
      <w:marBottom w:val="0"/>
      <w:divBdr>
        <w:top w:val="none" w:sz="0" w:space="0" w:color="auto"/>
        <w:left w:val="none" w:sz="0" w:space="0" w:color="auto"/>
        <w:bottom w:val="none" w:sz="0" w:space="0" w:color="auto"/>
        <w:right w:val="none" w:sz="0" w:space="0" w:color="auto"/>
      </w:divBdr>
    </w:div>
    <w:div w:id="379062112">
      <w:bodyDiv w:val="1"/>
      <w:marLeft w:val="0"/>
      <w:marRight w:val="0"/>
      <w:marTop w:val="0"/>
      <w:marBottom w:val="0"/>
      <w:divBdr>
        <w:top w:val="none" w:sz="0" w:space="0" w:color="auto"/>
        <w:left w:val="none" w:sz="0" w:space="0" w:color="auto"/>
        <w:bottom w:val="none" w:sz="0" w:space="0" w:color="auto"/>
        <w:right w:val="none" w:sz="0" w:space="0" w:color="auto"/>
      </w:divBdr>
    </w:div>
    <w:div w:id="400375948">
      <w:bodyDiv w:val="1"/>
      <w:marLeft w:val="0"/>
      <w:marRight w:val="0"/>
      <w:marTop w:val="0"/>
      <w:marBottom w:val="0"/>
      <w:divBdr>
        <w:top w:val="none" w:sz="0" w:space="0" w:color="auto"/>
        <w:left w:val="none" w:sz="0" w:space="0" w:color="auto"/>
        <w:bottom w:val="none" w:sz="0" w:space="0" w:color="auto"/>
        <w:right w:val="none" w:sz="0" w:space="0" w:color="auto"/>
      </w:divBdr>
    </w:div>
    <w:div w:id="405617816">
      <w:bodyDiv w:val="1"/>
      <w:marLeft w:val="0"/>
      <w:marRight w:val="0"/>
      <w:marTop w:val="0"/>
      <w:marBottom w:val="0"/>
      <w:divBdr>
        <w:top w:val="none" w:sz="0" w:space="0" w:color="auto"/>
        <w:left w:val="none" w:sz="0" w:space="0" w:color="auto"/>
        <w:bottom w:val="none" w:sz="0" w:space="0" w:color="auto"/>
        <w:right w:val="none" w:sz="0" w:space="0" w:color="auto"/>
      </w:divBdr>
    </w:div>
    <w:div w:id="496262851">
      <w:bodyDiv w:val="1"/>
      <w:marLeft w:val="0"/>
      <w:marRight w:val="0"/>
      <w:marTop w:val="0"/>
      <w:marBottom w:val="0"/>
      <w:divBdr>
        <w:top w:val="none" w:sz="0" w:space="0" w:color="auto"/>
        <w:left w:val="none" w:sz="0" w:space="0" w:color="auto"/>
        <w:bottom w:val="none" w:sz="0" w:space="0" w:color="auto"/>
        <w:right w:val="none" w:sz="0" w:space="0" w:color="auto"/>
      </w:divBdr>
    </w:div>
    <w:div w:id="501774405">
      <w:bodyDiv w:val="1"/>
      <w:marLeft w:val="0"/>
      <w:marRight w:val="0"/>
      <w:marTop w:val="0"/>
      <w:marBottom w:val="0"/>
      <w:divBdr>
        <w:top w:val="none" w:sz="0" w:space="0" w:color="auto"/>
        <w:left w:val="none" w:sz="0" w:space="0" w:color="auto"/>
        <w:bottom w:val="none" w:sz="0" w:space="0" w:color="auto"/>
        <w:right w:val="none" w:sz="0" w:space="0" w:color="auto"/>
      </w:divBdr>
    </w:div>
    <w:div w:id="520633370">
      <w:bodyDiv w:val="1"/>
      <w:marLeft w:val="0"/>
      <w:marRight w:val="0"/>
      <w:marTop w:val="0"/>
      <w:marBottom w:val="0"/>
      <w:divBdr>
        <w:top w:val="none" w:sz="0" w:space="0" w:color="auto"/>
        <w:left w:val="none" w:sz="0" w:space="0" w:color="auto"/>
        <w:bottom w:val="none" w:sz="0" w:space="0" w:color="auto"/>
        <w:right w:val="none" w:sz="0" w:space="0" w:color="auto"/>
      </w:divBdr>
    </w:div>
    <w:div w:id="529224585">
      <w:bodyDiv w:val="1"/>
      <w:marLeft w:val="0"/>
      <w:marRight w:val="0"/>
      <w:marTop w:val="0"/>
      <w:marBottom w:val="0"/>
      <w:divBdr>
        <w:top w:val="none" w:sz="0" w:space="0" w:color="auto"/>
        <w:left w:val="none" w:sz="0" w:space="0" w:color="auto"/>
        <w:bottom w:val="none" w:sz="0" w:space="0" w:color="auto"/>
        <w:right w:val="none" w:sz="0" w:space="0" w:color="auto"/>
      </w:divBdr>
    </w:div>
    <w:div w:id="532495926">
      <w:bodyDiv w:val="1"/>
      <w:marLeft w:val="0"/>
      <w:marRight w:val="0"/>
      <w:marTop w:val="0"/>
      <w:marBottom w:val="0"/>
      <w:divBdr>
        <w:top w:val="none" w:sz="0" w:space="0" w:color="auto"/>
        <w:left w:val="none" w:sz="0" w:space="0" w:color="auto"/>
        <w:bottom w:val="none" w:sz="0" w:space="0" w:color="auto"/>
        <w:right w:val="none" w:sz="0" w:space="0" w:color="auto"/>
      </w:divBdr>
    </w:div>
    <w:div w:id="536433019">
      <w:bodyDiv w:val="1"/>
      <w:marLeft w:val="0"/>
      <w:marRight w:val="0"/>
      <w:marTop w:val="0"/>
      <w:marBottom w:val="0"/>
      <w:divBdr>
        <w:top w:val="none" w:sz="0" w:space="0" w:color="auto"/>
        <w:left w:val="none" w:sz="0" w:space="0" w:color="auto"/>
        <w:bottom w:val="none" w:sz="0" w:space="0" w:color="auto"/>
        <w:right w:val="none" w:sz="0" w:space="0" w:color="auto"/>
      </w:divBdr>
    </w:div>
    <w:div w:id="542670464">
      <w:bodyDiv w:val="1"/>
      <w:marLeft w:val="0"/>
      <w:marRight w:val="0"/>
      <w:marTop w:val="0"/>
      <w:marBottom w:val="0"/>
      <w:divBdr>
        <w:top w:val="none" w:sz="0" w:space="0" w:color="auto"/>
        <w:left w:val="none" w:sz="0" w:space="0" w:color="auto"/>
        <w:bottom w:val="none" w:sz="0" w:space="0" w:color="auto"/>
        <w:right w:val="none" w:sz="0" w:space="0" w:color="auto"/>
      </w:divBdr>
    </w:div>
    <w:div w:id="543759835">
      <w:bodyDiv w:val="1"/>
      <w:marLeft w:val="0"/>
      <w:marRight w:val="0"/>
      <w:marTop w:val="0"/>
      <w:marBottom w:val="0"/>
      <w:divBdr>
        <w:top w:val="none" w:sz="0" w:space="0" w:color="auto"/>
        <w:left w:val="none" w:sz="0" w:space="0" w:color="auto"/>
        <w:bottom w:val="none" w:sz="0" w:space="0" w:color="auto"/>
        <w:right w:val="none" w:sz="0" w:space="0" w:color="auto"/>
      </w:divBdr>
    </w:div>
    <w:div w:id="548147770">
      <w:bodyDiv w:val="1"/>
      <w:marLeft w:val="0"/>
      <w:marRight w:val="0"/>
      <w:marTop w:val="0"/>
      <w:marBottom w:val="0"/>
      <w:divBdr>
        <w:top w:val="none" w:sz="0" w:space="0" w:color="auto"/>
        <w:left w:val="none" w:sz="0" w:space="0" w:color="auto"/>
        <w:bottom w:val="none" w:sz="0" w:space="0" w:color="auto"/>
        <w:right w:val="none" w:sz="0" w:space="0" w:color="auto"/>
      </w:divBdr>
      <w:divsChild>
        <w:div w:id="268007647">
          <w:marLeft w:val="1166"/>
          <w:marRight w:val="0"/>
          <w:marTop w:val="0"/>
          <w:marBottom w:val="0"/>
          <w:divBdr>
            <w:top w:val="none" w:sz="0" w:space="0" w:color="auto"/>
            <w:left w:val="none" w:sz="0" w:space="0" w:color="auto"/>
            <w:bottom w:val="none" w:sz="0" w:space="0" w:color="auto"/>
            <w:right w:val="none" w:sz="0" w:space="0" w:color="auto"/>
          </w:divBdr>
        </w:div>
        <w:div w:id="335034809">
          <w:marLeft w:val="547"/>
          <w:marRight w:val="0"/>
          <w:marTop w:val="0"/>
          <w:marBottom w:val="0"/>
          <w:divBdr>
            <w:top w:val="none" w:sz="0" w:space="0" w:color="auto"/>
            <w:left w:val="none" w:sz="0" w:space="0" w:color="auto"/>
            <w:bottom w:val="none" w:sz="0" w:space="0" w:color="auto"/>
            <w:right w:val="none" w:sz="0" w:space="0" w:color="auto"/>
          </w:divBdr>
        </w:div>
        <w:div w:id="426540572">
          <w:marLeft w:val="1800"/>
          <w:marRight w:val="0"/>
          <w:marTop w:val="0"/>
          <w:marBottom w:val="0"/>
          <w:divBdr>
            <w:top w:val="none" w:sz="0" w:space="0" w:color="auto"/>
            <w:left w:val="none" w:sz="0" w:space="0" w:color="auto"/>
            <w:bottom w:val="none" w:sz="0" w:space="0" w:color="auto"/>
            <w:right w:val="none" w:sz="0" w:space="0" w:color="auto"/>
          </w:divBdr>
        </w:div>
        <w:div w:id="561794857">
          <w:marLeft w:val="1800"/>
          <w:marRight w:val="0"/>
          <w:marTop w:val="0"/>
          <w:marBottom w:val="0"/>
          <w:divBdr>
            <w:top w:val="none" w:sz="0" w:space="0" w:color="auto"/>
            <w:left w:val="none" w:sz="0" w:space="0" w:color="auto"/>
            <w:bottom w:val="none" w:sz="0" w:space="0" w:color="auto"/>
            <w:right w:val="none" w:sz="0" w:space="0" w:color="auto"/>
          </w:divBdr>
        </w:div>
        <w:div w:id="1024789858">
          <w:marLeft w:val="1166"/>
          <w:marRight w:val="0"/>
          <w:marTop w:val="0"/>
          <w:marBottom w:val="0"/>
          <w:divBdr>
            <w:top w:val="none" w:sz="0" w:space="0" w:color="auto"/>
            <w:left w:val="none" w:sz="0" w:space="0" w:color="auto"/>
            <w:bottom w:val="none" w:sz="0" w:space="0" w:color="auto"/>
            <w:right w:val="none" w:sz="0" w:space="0" w:color="auto"/>
          </w:divBdr>
        </w:div>
        <w:div w:id="1244298995">
          <w:marLeft w:val="1166"/>
          <w:marRight w:val="0"/>
          <w:marTop w:val="0"/>
          <w:marBottom w:val="0"/>
          <w:divBdr>
            <w:top w:val="none" w:sz="0" w:space="0" w:color="auto"/>
            <w:left w:val="none" w:sz="0" w:space="0" w:color="auto"/>
            <w:bottom w:val="none" w:sz="0" w:space="0" w:color="auto"/>
            <w:right w:val="none" w:sz="0" w:space="0" w:color="auto"/>
          </w:divBdr>
        </w:div>
        <w:div w:id="1465081854">
          <w:marLeft w:val="1800"/>
          <w:marRight w:val="0"/>
          <w:marTop w:val="0"/>
          <w:marBottom w:val="0"/>
          <w:divBdr>
            <w:top w:val="none" w:sz="0" w:space="0" w:color="auto"/>
            <w:left w:val="none" w:sz="0" w:space="0" w:color="auto"/>
            <w:bottom w:val="none" w:sz="0" w:space="0" w:color="auto"/>
            <w:right w:val="none" w:sz="0" w:space="0" w:color="auto"/>
          </w:divBdr>
        </w:div>
        <w:div w:id="1695961038">
          <w:marLeft w:val="1800"/>
          <w:marRight w:val="0"/>
          <w:marTop w:val="0"/>
          <w:marBottom w:val="0"/>
          <w:divBdr>
            <w:top w:val="none" w:sz="0" w:space="0" w:color="auto"/>
            <w:left w:val="none" w:sz="0" w:space="0" w:color="auto"/>
            <w:bottom w:val="none" w:sz="0" w:space="0" w:color="auto"/>
            <w:right w:val="none" w:sz="0" w:space="0" w:color="auto"/>
          </w:divBdr>
        </w:div>
        <w:div w:id="1702245263">
          <w:marLeft w:val="1166"/>
          <w:marRight w:val="0"/>
          <w:marTop w:val="0"/>
          <w:marBottom w:val="0"/>
          <w:divBdr>
            <w:top w:val="none" w:sz="0" w:space="0" w:color="auto"/>
            <w:left w:val="none" w:sz="0" w:space="0" w:color="auto"/>
            <w:bottom w:val="none" w:sz="0" w:space="0" w:color="auto"/>
            <w:right w:val="none" w:sz="0" w:space="0" w:color="auto"/>
          </w:divBdr>
        </w:div>
        <w:div w:id="1881746183">
          <w:marLeft w:val="1800"/>
          <w:marRight w:val="0"/>
          <w:marTop w:val="0"/>
          <w:marBottom w:val="0"/>
          <w:divBdr>
            <w:top w:val="none" w:sz="0" w:space="0" w:color="auto"/>
            <w:left w:val="none" w:sz="0" w:space="0" w:color="auto"/>
            <w:bottom w:val="none" w:sz="0" w:space="0" w:color="auto"/>
            <w:right w:val="none" w:sz="0" w:space="0" w:color="auto"/>
          </w:divBdr>
        </w:div>
        <w:div w:id="1991859074">
          <w:marLeft w:val="547"/>
          <w:marRight w:val="0"/>
          <w:marTop w:val="0"/>
          <w:marBottom w:val="0"/>
          <w:divBdr>
            <w:top w:val="none" w:sz="0" w:space="0" w:color="auto"/>
            <w:left w:val="none" w:sz="0" w:space="0" w:color="auto"/>
            <w:bottom w:val="none" w:sz="0" w:space="0" w:color="auto"/>
            <w:right w:val="none" w:sz="0" w:space="0" w:color="auto"/>
          </w:divBdr>
        </w:div>
      </w:divsChild>
    </w:div>
    <w:div w:id="563561242">
      <w:bodyDiv w:val="1"/>
      <w:marLeft w:val="0"/>
      <w:marRight w:val="0"/>
      <w:marTop w:val="0"/>
      <w:marBottom w:val="0"/>
      <w:divBdr>
        <w:top w:val="none" w:sz="0" w:space="0" w:color="auto"/>
        <w:left w:val="none" w:sz="0" w:space="0" w:color="auto"/>
        <w:bottom w:val="none" w:sz="0" w:space="0" w:color="auto"/>
        <w:right w:val="none" w:sz="0" w:space="0" w:color="auto"/>
      </w:divBdr>
    </w:div>
    <w:div w:id="573245540">
      <w:bodyDiv w:val="1"/>
      <w:marLeft w:val="0"/>
      <w:marRight w:val="0"/>
      <w:marTop w:val="0"/>
      <w:marBottom w:val="0"/>
      <w:divBdr>
        <w:top w:val="none" w:sz="0" w:space="0" w:color="auto"/>
        <w:left w:val="none" w:sz="0" w:space="0" w:color="auto"/>
        <w:bottom w:val="none" w:sz="0" w:space="0" w:color="auto"/>
        <w:right w:val="none" w:sz="0" w:space="0" w:color="auto"/>
      </w:divBdr>
    </w:div>
    <w:div w:id="648051767">
      <w:bodyDiv w:val="1"/>
      <w:marLeft w:val="0"/>
      <w:marRight w:val="0"/>
      <w:marTop w:val="0"/>
      <w:marBottom w:val="0"/>
      <w:divBdr>
        <w:top w:val="none" w:sz="0" w:space="0" w:color="auto"/>
        <w:left w:val="none" w:sz="0" w:space="0" w:color="auto"/>
        <w:bottom w:val="none" w:sz="0" w:space="0" w:color="auto"/>
        <w:right w:val="none" w:sz="0" w:space="0" w:color="auto"/>
      </w:divBdr>
      <w:divsChild>
        <w:div w:id="1217740862">
          <w:marLeft w:val="0"/>
          <w:marRight w:val="0"/>
          <w:marTop w:val="0"/>
          <w:marBottom w:val="0"/>
          <w:divBdr>
            <w:top w:val="none" w:sz="0" w:space="0" w:color="auto"/>
            <w:left w:val="none" w:sz="0" w:space="0" w:color="auto"/>
            <w:bottom w:val="none" w:sz="0" w:space="0" w:color="auto"/>
            <w:right w:val="none" w:sz="0" w:space="0" w:color="auto"/>
          </w:divBdr>
        </w:div>
      </w:divsChild>
    </w:div>
    <w:div w:id="658383858">
      <w:bodyDiv w:val="1"/>
      <w:marLeft w:val="0"/>
      <w:marRight w:val="0"/>
      <w:marTop w:val="0"/>
      <w:marBottom w:val="0"/>
      <w:divBdr>
        <w:top w:val="none" w:sz="0" w:space="0" w:color="auto"/>
        <w:left w:val="none" w:sz="0" w:space="0" w:color="auto"/>
        <w:bottom w:val="none" w:sz="0" w:space="0" w:color="auto"/>
        <w:right w:val="none" w:sz="0" w:space="0" w:color="auto"/>
      </w:divBdr>
    </w:div>
    <w:div w:id="693193862">
      <w:bodyDiv w:val="1"/>
      <w:marLeft w:val="0"/>
      <w:marRight w:val="0"/>
      <w:marTop w:val="0"/>
      <w:marBottom w:val="0"/>
      <w:divBdr>
        <w:top w:val="none" w:sz="0" w:space="0" w:color="auto"/>
        <w:left w:val="none" w:sz="0" w:space="0" w:color="auto"/>
        <w:bottom w:val="none" w:sz="0" w:space="0" w:color="auto"/>
        <w:right w:val="none" w:sz="0" w:space="0" w:color="auto"/>
      </w:divBdr>
    </w:div>
    <w:div w:id="703598776">
      <w:bodyDiv w:val="1"/>
      <w:marLeft w:val="0"/>
      <w:marRight w:val="0"/>
      <w:marTop w:val="0"/>
      <w:marBottom w:val="0"/>
      <w:divBdr>
        <w:top w:val="none" w:sz="0" w:space="0" w:color="auto"/>
        <w:left w:val="none" w:sz="0" w:space="0" w:color="auto"/>
        <w:bottom w:val="none" w:sz="0" w:space="0" w:color="auto"/>
        <w:right w:val="none" w:sz="0" w:space="0" w:color="auto"/>
      </w:divBdr>
    </w:div>
    <w:div w:id="723869101">
      <w:bodyDiv w:val="1"/>
      <w:marLeft w:val="0"/>
      <w:marRight w:val="0"/>
      <w:marTop w:val="0"/>
      <w:marBottom w:val="0"/>
      <w:divBdr>
        <w:top w:val="none" w:sz="0" w:space="0" w:color="auto"/>
        <w:left w:val="none" w:sz="0" w:space="0" w:color="auto"/>
        <w:bottom w:val="none" w:sz="0" w:space="0" w:color="auto"/>
        <w:right w:val="none" w:sz="0" w:space="0" w:color="auto"/>
      </w:divBdr>
    </w:div>
    <w:div w:id="776292796">
      <w:bodyDiv w:val="1"/>
      <w:marLeft w:val="0"/>
      <w:marRight w:val="0"/>
      <w:marTop w:val="0"/>
      <w:marBottom w:val="0"/>
      <w:divBdr>
        <w:top w:val="none" w:sz="0" w:space="0" w:color="auto"/>
        <w:left w:val="none" w:sz="0" w:space="0" w:color="auto"/>
        <w:bottom w:val="none" w:sz="0" w:space="0" w:color="auto"/>
        <w:right w:val="none" w:sz="0" w:space="0" w:color="auto"/>
      </w:divBdr>
    </w:div>
    <w:div w:id="804280061">
      <w:bodyDiv w:val="1"/>
      <w:marLeft w:val="0"/>
      <w:marRight w:val="0"/>
      <w:marTop w:val="0"/>
      <w:marBottom w:val="0"/>
      <w:divBdr>
        <w:top w:val="none" w:sz="0" w:space="0" w:color="auto"/>
        <w:left w:val="none" w:sz="0" w:space="0" w:color="auto"/>
        <w:bottom w:val="none" w:sz="0" w:space="0" w:color="auto"/>
        <w:right w:val="none" w:sz="0" w:space="0" w:color="auto"/>
      </w:divBdr>
    </w:div>
    <w:div w:id="833685806">
      <w:bodyDiv w:val="1"/>
      <w:marLeft w:val="0"/>
      <w:marRight w:val="0"/>
      <w:marTop w:val="0"/>
      <w:marBottom w:val="0"/>
      <w:divBdr>
        <w:top w:val="none" w:sz="0" w:space="0" w:color="auto"/>
        <w:left w:val="none" w:sz="0" w:space="0" w:color="auto"/>
        <w:bottom w:val="none" w:sz="0" w:space="0" w:color="auto"/>
        <w:right w:val="none" w:sz="0" w:space="0" w:color="auto"/>
      </w:divBdr>
    </w:div>
    <w:div w:id="854149543">
      <w:bodyDiv w:val="1"/>
      <w:marLeft w:val="0"/>
      <w:marRight w:val="0"/>
      <w:marTop w:val="0"/>
      <w:marBottom w:val="0"/>
      <w:divBdr>
        <w:top w:val="none" w:sz="0" w:space="0" w:color="auto"/>
        <w:left w:val="none" w:sz="0" w:space="0" w:color="auto"/>
        <w:bottom w:val="none" w:sz="0" w:space="0" w:color="auto"/>
        <w:right w:val="none" w:sz="0" w:space="0" w:color="auto"/>
      </w:divBdr>
    </w:div>
    <w:div w:id="881289071">
      <w:bodyDiv w:val="1"/>
      <w:marLeft w:val="0"/>
      <w:marRight w:val="0"/>
      <w:marTop w:val="0"/>
      <w:marBottom w:val="0"/>
      <w:divBdr>
        <w:top w:val="none" w:sz="0" w:space="0" w:color="auto"/>
        <w:left w:val="none" w:sz="0" w:space="0" w:color="auto"/>
        <w:bottom w:val="none" w:sz="0" w:space="0" w:color="auto"/>
        <w:right w:val="none" w:sz="0" w:space="0" w:color="auto"/>
      </w:divBdr>
    </w:div>
    <w:div w:id="970986389">
      <w:bodyDiv w:val="1"/>
      <w:marLeft w:val="0"/>
      <w:marRight w:val="0"/>
      <w:marTop w:val="0"/>
      <w:marBottom w:val="0"/>
      <w:divBdr>
        <w:top w:val="none" w:sz="0" w:space="0" w:color="auto"/>
        <w:left w:val="none" w:sz="0" w:space="0" w:color="auto"/>
        <w:bottom w:val="none" w:sz="0" w:space="0" w:color="auto"/>
        <w:right w:val="none" w:sz="0" w:space="0" w:color="auto"/>
      </w:divBdr>
    </w:div>
    <w:div w:id="1045984876">
      <w:bodyDiv w:val="1"/>
      <w:marLeft w:val="0"/>
      <w:marRight w:val="0"/>
      <w:marTop w:val="0"/>
      <w:marBottom w:val="0"/>
      <w:divBdr>
        <w:top w:val="none" w:sz="0" w:space="0" w:color="auto"/>
        <w:left w:val="none" w:sz="0" w:space="0" w:color="auto"/>
        <w:bottom w:val="none" w:sz="0" w:space="0" w:color="auto"/>
        <w:right w:val="none" w:sz="0" w:space="0" w:color="auto"/>
      </w:divBdr>
    </w:div>
    <w:div w:id="1116556734">
      <w:bodyDiv w:val="1"/>
      <w:marLeft w:val="0"/>
      <w:marRight w:val="0"/>
      <w:marTop w:val="0"/>
      <w:marBottom w:val="0"/>
      <w:divBdr>
        <w:top w:val="none" w:sz="0" w:space="0" w:color="auto"/>
        <w:left w:val="none" w:sz="0" w:space="0" w:color="auto"/>
        <w:bottom w:val="none" w:sz="0" w:space="0" w:color="auto"/>
        <w:right w:val="none" w:sz="0" w:space="0" w:color="auto"/>
      </w:divBdr>
    </w:div>
    <w:div w:id="1147747088">
      <w:bodyDiv w:val="1"/>
      <w:marLeft w:val="0"/>
      <w:marRight w:val="0"/>
      <w:marTop w:val="0"/>
      <w:marBottom w:val="0"/>
      <w:divBdr>
        <w:top w:val="none" w:sz="0" w:space="0" w:color="auto"/>
        <w:left w:val="none" w:sz="0" w:space="0" w:color="auto"/>
        <w:bottom w:val="none" w:sz="0" w:space="0" w:color="auto"/>
        <w:right w:val="none" w:sz="0" w:space="0" w:color="auto"/>
      </w:divBdr>
    </w:div>
    <w:div w:id="1187988364">
      <w:bodyDiv w:val="1"/>
      <w:marLeft w:val="0"/>
      <w:marRight w:val="0"/>
      <w:marTop w:val="0"/>
      <w:marBottom w:val="0"/>
      <w:divBdr>
        <w:top w:val="none" w:sz="0" w:space="0" w:color="auto"/>
        <w:left w:val="none" w:sz="0" w:space="0" w:color="auto"/>
        <w:bottom w:val="none" w:sz="0" w:space="0" w:color="auto"/>
        <w:right w:val="none" w:sz="0" w:space="0" w:color="auto"/>
      </w:divBdr>
    </w:div>
    <w:div w:id="1217857972">
      <w:bodyDiv w:val="1"/>
      <w:marLeft w:val="0"/>
      <w:marRight w:val="0"/>
      <w:marTop w:val="0"/>
      <w:marBottom w:val="0"/>
      <w:divBdr>
        <w:top w:val="none" w:sz="0" w:space="0" w:color="auto"/>
        <w:left w:val="none" w:sz="0" w:space="0" w:color="auto"/>
        <w:bottom w:val="none" w:sz="0" w:space="0" w:color="auto"/>
        <w:right w:val="none" w:sz="0" w:space="0" w:color="auto"/>
      </w:divBdr>
    </w:div>
    <w:div w:id="1226377213">
      <w:bodyDiv w:val="1"/>
      <w:marLeft w:val="0"/>
      <w:marRight w:val="0"/>
      <w:marTop w:val="0"/>
      <w:marBottom w:val="0"/>
      <w:divBdr>
        <w:top w:val="none" w:sz="0" w:space="0" w:color="auto"/>
        <w:left w:val="none" w:sz="0" w:space="0" w:color="auto"/>
        <w:bottom w:val="none" w:sz="0" w:space="0" w:color="auto"/>
        <w:right w:val="none" w:sz="0" w:space="0" w:color="auto"/>
      </w:divBdr>
    </w:div>
    <w:div w:id="1228959212">
      <w:bodyDiv w:val="1"/>
      <w:marLeft w:val="0"/>
      <w:marRight w:val="0"/>
      <w:marTop w:val="0"/>
      <w:marBottom w:val="0"/>
      <w:divBdr>
        <w:top w:val="none" w:sz="0" w:space="0" w:color="auto"/>
        <w:left w:val="none" w:sz="0" w:space="0" w:color="auto"/>
        <w:bottom w:val="none" w:sz="0" w:space="0" w:color="auto"/>
        <w:right w:val="none" w:sz="0" w:space="0" w:color="auto"/>
      </w:divBdr>
    </w:div>
    <w:div w:id="1228959598">
      <w:bodyDiv w:val="1"/>
      <w:marLeft w:val="0"/>
      <w:marRight w:val="0"/>
      <w:marTop w:val="0"/>
      <w:marBottom w:val="0"/>
      <w:divBdr>
        <w:top w:val="none" w:sz="0" w:space="0" w:color="auto"/>
        <w:left w:val="none" w:sz="0" w:space="0" w:color="auto"/>
        <w:bottom w:val="none" w:sz="0" w:space="0" w:color="auto"/>
        <w:right w:val="none" w:sz="0" w:space="0" w:color="auto"/>
      </w:divBdr>
    </w:div>
    <w:div w:id="1298292317">
      <w:bodyDiv w:val="1"/>
      <w:marLeft w:val="0"/>
      <w:marRight w:val="0"/>
      <w:marTop w:val="0"/>
      <w:marBottom w:val="0"/>
      <w:divBdr>
        <w:top w:val="none" w:sz="0" w:space="0" w:color="auto"/>
        <w:left w:val="none" w:sz="0" w:space="0" w:color="auto"/>
        <w:bottom w:val="none" w:sz="0" w:space="0" w:color="auto"/>
        <w:right w:val="none" w:sz="0" w:space="0" w:color="auto"/>
      </w:divBdr>
    </w:div>
    <w:div w:id="1335185721">
      <w:bodyDiv w:val="1"/>
      <w:marLeft w:val="0"/>
      <w:marRight w:val="0"/>
      <w:marTop w:val="0"/>
      <w:marBottom w:val="0"/>
      <w:divBdr>
        <w:top w:val="none" w:sz="0" w:space="0" w:color="auto"/>
        <w:left w:val="none" w:sz="0" w:space="0" w:color="auto"/>
        <w:bottom w:val="none" w:sz="0" w:space="0" w:color="auto"/>
        <w:right w:val="none" w:sz="0" w:space="0" w:color="auto"/>
      </w:divBdr>
    </w:div>
    <w:div w:id="1391492247">
      <w:bodyDiv w:val="1"/>
      <w:marLeft w:val="0"/>
      <w:marRight w:val="0"/>
      <w:marTop w:val="0"/>
      <w:marBottom w:val="0"/>
      <w:divBdr>
        <w:top w:val="none" w:sz="0" w:space="0" w:color="auto"/>
        <w:left w:val="none" w:sz="0" w:space="0" w:color="auto"/>
        <w:bottom w:val="none" w:sz="0" w:space="0" w:color="auto"/>
        <w:right w:val="none" w:sz="0" w:space="0" w:color="auto"/>
      </w:divBdr>
    </w:div>
    <w:div w:id="1406486571">
      <w:bodyDiv w:val="1"/>
      <w:marLeft w:val="0"/>
      <w:marRight w:val="0"/>
      <w:marTop w:val="0"/>
      <w:marBottom w:val="0"/>
      <w:divBdr>
        <w:top w:val="none" w:sz="0" w:space="0" w:color="auto"/>
        <w:left w:val="none" w:sz="0" w:space="0" w:color="auto"/>
        <w:bottom w:val="none" w:sz="0" w:space="0" w:color="auto"/>
        <w:right w:val="none" w:sz="0" w:space="0" w:color="auto"/>
      </w:divBdr>
    </w:div>
    <w:div w:id="1407723123">
      <w:bodyDiv w:val="1"/>
      <w:marLeft w:val="0"/>
      <w:marRight w:val="0"/>
      <w:marTop w:val="0"/>
      <w:marBottom w:val="0"/>
      <w:divBdr>
        <w:top w:val="none" w:sz="0" w:space="0" w:color="auto"/>
        <w:left w:val="none" w:sz="0" w:space="0" w:color="auto"/>
        <w:bottom w:val="none" w:sz="0" w:space="0" w:color="auto"/>
        <w:right w:val="none" w:sz="0" w:space="0" w:color="auto"/>
      </w:divBdr>
    </w:div>
    <w:div w:id="1475563224">
      <w:bodyDiv w:val="1"/>
      <w:marLeft w:val="0"/>
      <w:marRight w:val="0"/>
      <w:marTop w:val="0"/>
      <w:marBottom w:val="0"/>
      <w:divBdr>
        <w:top w:val="none" w:sz="0" w:space="0" w:color="auto"/>
        <w:left w:val="none" w:sz="0" w:space="0" w:color="auto"/>
        <w:bottom w:val="none" w:sz="0" w:space="0" w:color="auto"/>
        <w:right w:val="none" w:sz="0" w:space="0" w:color="auto"/>
      </w:divBdr>
    </w:div>
    <w:div w:id="1544247027">
      <w:bodyDiv w:val="1"/>
      <w:marLeft w:val="0"/>
      <w:marRight w:val="0"/>
      <w:marTop w:val="0"/>
      <w:marBottom w:val="0"/>
      <w:divBdr>
        <w:top w:val="none" w:sz="0" w:space="0" w:color="auto"/>
        <w:left w:val="none" w:sz="0" w:space="0" w:color="auto"/>
        <w:bottom w:val="none" w:sz="0" w:space="0" w:color="auto"/>
        <w:right w:val="none" w:sz="0" w:space="0" w:color="auto"/>
      </w:divBdr>
    </w:div>
    <w:div w:id="1590387350">
      <w:bodyDiv w:val="1"/>
      <w:marLeft w:val="0"/>
      <w:marRight w:val="0"/>
      <w:marTop w:val="0"/>
      <w:marBottom w:val="0"/>
      <w:divBdr>
        <w:top w:val="none" w:sz="0" w:space="0" w:color="auto"/>
        <w:left w:val="none" w:sz="0" w:space="0" w:color="auto"/>
        <w:bottom w:val="none" w:sz="0" w:space="0" w:color="auto"/>
        <w:right w:val="none" w:sz="0" w:space="0" w:color="auto"/>
      </w:divBdr>
    </w:div>
    <w:div w:id="1670013263">
      <w:bodyDiv w:val="1"/>
      <w:marLeft w:val="0"/>
      <w:marRight w:val="0"/>
      <w:marTop w:val="0"/>
      <w:marBottom w:val="0"/>
      <w:divBdr>
        <w:top w:val="none" w:sz="0" w:space="0" w:color="auto"/>
        <w:left w:val="none" w:sz="0" w:space="0" w:color="auto"/>
        <w:bottom w:val="none" w:sz="0" w:space="0" w:color="auto"/>
        <w:right w:val="none" w:sz="0" w:space="0" w:color="auto"/>
      </w:divBdr>
    </w:div>
    <w:div w:id="1722362399">
      <w:bodyDiv w:val="1"/>
      <w:marLeft w:val="0"/>
      <w:marRight w:val="0"/>
      <w:marTop w:val="0"/>
      <w:marBottom w:val="0"/>
      <w:divBdr>
        <w:top w:val="none" w:sz="0" w:space="0" w:color="auto"/>
        <w:left w:val="none" w:sz="0" w:space="0" w:color="auto"/>
        <w:bottom w:val="none" w:sz="0" w:space="0" w:color="auto"/>
        <w:right w:val="none" w:sz="0" w:space="0" w:color="auto"/>
      </w:divBdr>
    </w:div>
    <w:div w:id="1734816630">
      <w:bodyDiv w:val="1"/>
      <w:marLeft w:val="0"/>
      <w:marRight w:val="0"/>
      <w:marTop w:val="0"/>
      <w:marBottom w:val="0"/>
      <w:divBdr>
        <w:top w:val="none" w:sz="0" w:space="0" w:color="auto"/>
        <w:left w:val="none" w:sz="0" w:space="0" w:color="auto"/>
        <w:bottom w:val="none" w:sz="0" w:space="0" w:color="auto"/>
        <w:right w:val="none" w:sz="0" w:space="0" w:color="auto"/>
      </w:divBdr>
    </w:div>
    <w:div w:id="1741172372">
      <w:bodyDiv w:val="1"/>
      <w:marLeft w:val="0"/>
      <w:marRight w:val="0"/>
      <w:marTop w:val="0"/>
      <w:marBottom w:val="0"/>
      <w:divBdr>
        <w:top w:val="none" w:sz="0" w:space="0" w:color="auto"/>
        <w:left w:val="none" w:sz="0" w:space="0" w:color="auto"/>
        <w:bottom w:val="none" w:sz="0" w:space="0" w:color="auto"/>
        <w:right w:val="none" w:sz="0" w:space="0" w:color="auto"/>
      </w:divBdr>
    </w:div>
    <w:div w:id="1864980078">
      <w:bodyDiv w:val="1"/>
      <w:marLeft w:val="0"/>
      <w:marRight w:val="0"/>
      <w:marTop w:val="0"/>
      <w:marBottom w:val="0"/>
      <w:divBdr>
        <w:top w:val="none" w:sz="0" w:space="0" w:color="auto"/>
        <w:left w:val="none" w:sz="0" w:space="0" w:color="auto"/>
        <w:bottom w:val="none" w:sz="0" w:space="0" w:color="auto"/>
        <w:right w:val="none" w:sz="0" w:space="0" w:color="auto"/>
      </w:divBdr>
    </w:div>
    <w:div w:id="1881093377">
      <w:bodyDiv w:val="1"/>
      <w:marLeft w:val="0"/>
      <w:marRight w:val="0"/>
      <w:marTop w:val="0"/>
      <w:marBottom w:val="0"/>
      <w:divBdr>
        <w:top w:val="none" w:sz="0" w:space="0" w:color="auto"/>
        <w:left w:val="none" w:sz="0" w:space="0" w:color="auto"/>
        <w:bottom w:val="none" w:sz="0" w:space="0" w:color="auto"/>
        <w:right w:val="none" w:sz="0" w:space="0" w:color="auto"/>
      </w:divBdr>
    </w:div>
    <w:div w:id="1917518350">
      <w:bodyDiv w:val="1"/>
      <w:marLeft w:val="0"/>
      <w:marRight w:val="0"/>
      <w:marTop w:val="0"/>
      <w:marBottom w:val="0"/>
      <w:divBdr>
        <w:top w:val="none" w:sz="0" w:space="0" w:color="auto"/>
        <w:left w:val="none" w:sz="0" w:space="0" w:color="auto"/>
        <w:bottom w:val="none" w:sz="0" w:space="0" w:color="auto"/>
        <w:right w:val="none" w:sz="0" w:space="0" w:color="auto"/>
      </w:divBdr>
    </w:div>
    <w:div w:id="1925453896">
      <w:bodyDiv w:val="1"/>
      <w:marLeft w:val="0"/>
      <w:marRight w:val="0"/>
      <w:marTop w:val="0"/>
      <w:marBottom w:val="0"/>
      <w:divBdr>
        <w:top w:val="none" w:sz="0" w:space="0" w:color="auto"/>
        <w:left w:val="none" w:sz="0" w:space="0" w:color="auto"/>
        <w:bottom w:val="none" w:sz="0" w:space="0" w:color="auto"/>
        <w:right w:val="none" w:sz="0" w:space="0" w:color="auto"/>
      </w:divBdr>
    </w:div>
    <w:div w:id="1926717854">
      <w:bodyDiv w:val="1"/>
      <w:marLeft w:val="0"/>
      <w:marRight w:val="0"/>
      <w:marTop w:val="0"/>
      <w:marBottom w:val="0"/>
      <w:divBdr>
        <w:top w:val="none" w:sz="0" w:space="0" w:color="auto"/>
        <w:left w:val="none" w:sz="0" w:space="0" w:color="auto"/>
        <w:bottom w:val="none" w:sz="0" w:space="0" w:color="auto"/>
        <w:right w:val="none" w:sz="0" w:space="0" w:color="auto"/>
      </w:divBdr>
    </w:div>
    <w:div w:id="1936358357">
      <w:bodyDiv w:val="1"/>
      <w:marLeft w:val="0"/>
      <w:marRight w:val="0"/>
      <w:marTop w:val="0"/>
      <w:marBottom w:val="0"/>
      <w:divBdr>
        <w:top w:val="none" w:sz="0" w:space="0" w:color="auto"/>
        <w:left w:val="none" w:sz="0" w:space="0" w:color="auto"/>
        <w:bottom w:val="none" w:sz="0" w:space="0" w:color="auto"/>
        <w:right w:val="none" w:sz="0" w:space="0" w:color="auto"/>
      </w:divBdr>
    </w:div>
    <w:div w:id="2010013067">
      <w:bodyDiv w:val="1"/>
      <w:marLeft w:val="0"/>
      <w:marRight w:val="0"/>
      <w:marTop w:val="0"/>
      <w:marBottom w:val="0"/>
      <w:divBdr>
        <w:top w:val="none" w:sz="0" w:space="0" w:color="auto"/>
        <w:left w:val="none" w:sz="0" w:space="0" w:color="auto"/>
        <w:bottom w:val="none" w:sz="0" w:space="0" w:color="auto"/>
        <w:right w:val="none" w:sz="0" w:space="0" w:color="auto"/>
      </w:divBdr>
    </w:div>
    <w:div w:id="2058165683">
      <w:bodyDiv w:val="1"/>
      <w:marLeft w:val="0"/>
      <w:marRight w:val="0"/>
      <w:marTop w:val="0"/>
      <w:marBottom w:val="0"/>
      <w:divBdr>
        <w:top w:val="none" w:sz="0" w:space="0" w:color="auto"/>
        <w:left w:val="none" w:sz="0" w:space="0" w:color="auto"/>
        <w:bottom w:val="none" w:sz="0" w:space="0" w:color="auto"/>
        <w:right w:val="none" w:sz="0" w:space="0" w:color="auto"/>
      </w:divBdr>
    </w:div>
    <w:div w:id="2079014407">
      <w:bodyDiv w:val="1"/>
      <w:marLeft w:val="0"/>
      <w:marRight w:val="0"/>
      <w:marTop w:val="0"/>
      <w:marBottom w:val="0"/>
      <w:divBdr>
        <w:top w:val="none" w:sz="0" w:space="0" w:color="auto"/>
        <w:left w:val="none" w:sz="0" w:space="0" w:color="auto"/>
        <w:bottom w:val="none" w:sz="0" w:space="0" w:color="auto"/>
        <w:right w:val="none" w:sz="0" w:space="0" w:color="auto"/>
      </w:divBdr>
    </w:div>
    <w:div w:id="209297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026636-E214-4F5E-B191-FB91294D3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4388</Words>
  <Characters>25893</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2019-06-23T18:24:00Z</dcterms:created>
  <dcterms:modified xsi:type="dcterms:W3CDTF">2019-07-23T15:42:00Z</dcterms:modified>
</cp:coreProperties>
</file>